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70667D" w14:paraId="2BCCB225" w14:textId="77777777" w:rsidTr="00AD33A8">
        <w:trPr>
          <w:trHeight w:val="282"/>
        </w:trPr>
        <w:tc>
          <w:tcPr>
            <w:tcW w:w="500" w:type="dxa"/>
            <w:vMerge w:val="restart"/>
            <w:tcBorders>
              <w:bottom w:val="nil"/>
            </w:tcBorders>
            <w:textDirection w:val="btLr"/>
          </w:tcPr>
          <w:p w14:paraId="3F9A5FB6" w14:textId="77777777" w:rsidR="00041727" w:rsidRPr="0070667D"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70667D">
              <w:rPr>
                <w:color w:val="365F91" w:themeColor="accent1" w:themeShade="BF"/>
                <w:sz w:val="10"/>
                <w:szCs w:val="10"/>
                <w:lang w:val="es-ES" w:eastAsia="zh-CN"/>
              </w:rPr>
              <w:t>TIEMPO</w:t>
            </w:r>
            <w:r w:rsidR="00041727" w:rsidRPr="0070667D">
              <w:rPr>
                <w:color w:val="365F91" w:themeColor="accent1" w:themeShade="BF"/>
                <w:sz w:val="10"/>
                <w:szCs w:val="10"/>
                <w:lang w:val="es-ES" w:eastAsia="zh-CN"/>
              </w:rPr>
              <w:t xml:space="preserve"> CLIMA </w:t>
            </w:r>
            <w:r w:rsidRPr="0070667D">
              <w:rPr>
                <w:color w:val="365F91" w:themeColor="accent1" w:themeShade="BF"/>
                <w:sz w:val="10"/>
                <w:szCs w:val="10"/>
                <w:lang w:val="es-ES" w:eastAsia="zh-CN"/>
              </w:rPr>
              <w:t>AGUA</w:t>
            </w:r>
          </w:p>
        </w:tc>
        <w:tc>
          <w:tcPr>
            <w:tcW w:w="6852" w:type="dxa"/>
            <w:vMerge w:val="restart"/>
          </w:tcPr>
          <w:p w14:paraId="205695D9" w14:textId="77777777" w:rsidR="00041727" w:rsidRPr="0070667D" w:rsidRDefault="00041727" w:rsidP="00993581">
            <w:pPr>
              <w:tabs>
                <w:tab w:val="left" w:pos="6946"/>
              </w:tabs>
              <w:suppressAutoHyphens/>
              <w:spacing w:after="120" w:line="252" w:lineRule="auto"/>
              <w:ind w:left="1134"/>
              <w:jc w:val="left"/>
              <w:rPr>
                <w:rStyle w:val="StyleComplex11ptBoldAccent1"/>
                <w:lang w:val="es-ES"/>
              </w:rPr>
            </w:pPr>
            <w:r w:rsidRPr="0070667D">
              <w:rPr>
                <w:noProof/>
                <w:color w:val="365F91" w:themeColor="accent1" w:themeShade="BF"/>
                <w:szCs w:val="22"/>
                <w:lang w:val="es-ES" w:eastAsia="zh-CN"/>
              </w:rPr>
              <w:drawing>
                <wp:anchor distT="0" distB="0" distL="114300" distR="114300" simplePos="0" relativeHeight="251664896" behindDoc="1" locked="1" layoutInCell="1" allowOverlap="1" wp14:anchorId="1FDF9F6A" wp14:editId="60F356C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70667D">
              <w:rPr>
                <w:rStyle w:val="StyleComplex11ptBoldAccent1"/>
                <w:lang w:val="es-ES"/>
              </w:rPr>
              <w:t>Organización Meteorológica Mundial</w:t>
            </w:r>
          </w:p>
          <w:p w14:paraId="34BF594F" w14:textId="77777777" w:rsidR="00041727" w:rsidRPr="0070667D"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70667D">
              <w:rPr>
                <w:rFonts w:cs="Tahoma"/>
                <w:b/>
                <w:color w:val="365F91" w:themeColor="accent1" w:themeShade="BF"/>
                <w:spacing w:val="-2"/>
                <w:szCs w:val="22"/>
                <w:lang w:val="es-ES"/>
              </w:rPr>
              <w:t>CONGRESO METEOROLÓGICO MUNDIAL</w:t>
            </w:r>
          </w:p>
          <w:p w14:paraId="2BD1FD5F" w14:textId="77777777" w:rsidR="00041727" w:rsidRPr="0070667D"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70667D">
              <w:rPr>
                <w:rFonts w:cstheme="minorBidi"/>
                <w:b/>
                <w:snapToGrid w:val="0"/>
                <w:color w:val="365F91" w:themeColor="accent1" w:themeShade="BF"/>
                <w:szCs w:val="22"/>
                <w:lang w:val="es-ES"/>
              </w:rPr>
              <w:t>Decimonovena</w:t>
            </w:r>
            <w:r w:rsidR="00527225" w:rsidRPr="0070667D">
              <w:rPr>
                <w:rFonts w:cstheme="minorBidi"/>
                <w:b/>
                <w:snapToGrid w:val="0"/>
                <w:color w:val="365F91" w:themeColor="accent1" w:themeShade="BF"/>
                <w:szCs w:val="22"/>
                <w:lang w:val="es-ES"/>
              </w:rPr>
              <w:t xml:space="preserve"> reunión</w:t>
            </w:r>
            <w:r w:rsidR="00041727" w:rsidRPr="0070667D">
              <w:rPr>
                <w:rFonts w:cstheme="minorBidi"/>
                <w:b/>
                <w:snapToGrid w:val="0"/>
                <w:color w:val="365F91" w:themeColor="accent1" w:themeShade="BF"/>
                <w:szCs w:val="22"/>
                <w:lang w:val="es-ES"/>
              </w:rPr>
              <w:br/>
            </w:r>
            <w:r w:rsidR="00447D93" w:rsidRPr="0070667D">
              <w:rPr>
                <w:snapToGrid w:val="0"/>
                <w:color w:val="365F91" w:themeColor="accent1" w:themeShade="BF"/>
                <w:szCs w:val="22"/>
                <w:lang w:val="es-ES"/>
              </w:rPr>
              <w:t xml:space="preserve">Ginebra, </w:t>
            </w:r>
            <w:r w:rsidR="00867DA4" w:rsidRPr="0070667D">
              <w:rPr>
                <w:snapToGrid w:val="0"/>
                <w:color w:val="365F91" w:themeColor="accent1" w:themeShade="BF"/>
                <w:szCs w:val="22"/>
                <w:lang w:val="es-ES"/>
              </w:rPr>
              <w:t>22</w:t>
            </w:r>
            <w:r w:rsidR="00C42ABF" w:rsidRPr="0070667D">
              <w:rPr>
                <w:snapToGrid w:val="0"/>
                <w:color w:val="365F91" w:themeColor="accent1" w:themeShade="BF"/>
                <w:szCs w:val="22"/>
                <w:lang w:val="es-ES"/>
              </w:rPr>
              <w:t xml:space="preserve"> de </w:t>
            </w:r>
            <w:r w:rsidR="00867DA4" w:rsidRPr="0070667D">
              <w:rPr>
                <w:snapToGrid w:val="0"/>
                <w:color w:val="365F91" w:themeColor="accent1" w:themeShade="BF"/>
                <w:szCs w:val="22"/>
                <w:lang w:val="es-ES"/>
              </w:rPr>
              <w:t>mayo</w:t>
            </w:r>
            <w:r w:rsidR="00C42ABF" w:rsidRPr="0070667D">
              <w:rPr>
                <w:snapToGrid w:val="0"/>
                <w:color w:val="365F91" w:themeColor="accent1" w:themeShade="BF"/>
                <w:szCs w:val="22"/>
                <w:lang w:val="es-ES"/>
              </w:rPr>
              <w:t xml:space="preserve"> a</w:t>
            </w:r>
            <w:r w:rsidR="00A41E35" w:rsidRPr="0070667D">
              <w:rPr>
                <w:snapToGrid w:val="0"/>
                <w:color w:val="365F91" w:themeColor="accent1" w:themeShade="BF"/>
                <w:szCs w:val="22"/>
                <w:lang w:val="es-ES"/>
              </w:rPr>
              <w:t xml:space="preserve"> </w:t>
            </w:r>
            <w:r w:rsidR="00867DA4" w:rsidRPr="0070667D">
              <w:rPr>
                <w:snapToGrid w:val="0"/>
                <w:color w:val="365F91" w:themeColor="accent1" w:themeShade="BF"/>
                <w:szCs w:val="22"/>
                <w:lang w:val="es-ES"/>
              </w:rPr>
              <w:t>2</w:t>
            </w:r>
            <w:r w:rsidR="00A41E35" w:rsidRPr="0070667D">
              <w:rPr>
                <w:snapToGrid w:val="0"/>
                <w:color w:val="365F91" w:themeColor="accent1" w:themeShade="BF"/>
                <w:szCs w:val="22"/>
                <w:lang w:val="es-ES"/>
              </w:rPr>
              <w:t xml:space="preserve"> </w:t>
            </w:r>
            <w:r w:rsidR="00527225" w:rsidRPr="0070667D">
              <w:rPr>
                <w:snapToGrid w:val="0"/>
                <w:color w:val="365F91" w:themeColor="accent1" w:themeShade="BF"/>
                <w:szCs w:val="22"/>
                <w:lang w:val="es-ES"/>
              </w:rPr>
              <w:t xml:space="preserve">de </w:t>
            </w:r>
            <w:r w:rsidR="00867DA4" w:rsidRPr="0070667D">
              <w:rPr>
                <w:snapToGrid w:val="0"/>
                <w:color w:val="365F91" w:themeColor="accent1" w:themeShade="BF"/>
                <w:szCs w:val="22"/>
                <w:lang w:val="es-ES"/>
              </w:rPr>
              <w:t>junio</w:t>
            </w:r>
            <w:r w:rsidR="00527225" w:rsidRPr="0070667D">
              <w:rPr>
                <w:snapToGrid w:val="0"/>
                <w:color w:val="365F91" w:themeColor="accent1" w:themeShade="BF"/>
                <w:szCs w:val="22"/>
                <w:lang w:val="es-ES"/>
              </w:rPr>
              <w:t xml:space="preserve"> de</w:t>
            </w:r>
            <w:r w:rsidR="00A41E35" w:rsidRPr="0070667D">
              <w:rPr>
                <w:snapToGrid w:val="0"/>
                <w:color w:val="365F91" w:themeColor="accent1" w:themeShade="BF"/>
                <w:szCs w:val="22"/>
                <w:lang w:val="es-ES"/>
              </w:rPr>
              <w:t xml:space="preserve"> 202</w:t>
            </w:r>
            <w:r w:rsidR="00C42ABF" w:rsidRPr="0070667D">
              <w:rPr>
                <w:snapToGrid w:val="0"/>
                <w:color w:val="365F91" w:themeColor="accent1" w:themeShade="BF"/>
                <w:szCs w:val="22"/>
                <w:lang w:val="es-ES"/>
              </w:rPr>
              <w:t>3</w:t>
            </w:r>
          </w:p>
        </w:tc>
        <w:tc>
          <w:tcPr>
            <w:tcW w:w="2962" w:type="dxa"/>
          </w:tcPr>
          <w:p w14:paraId="31F1FEE7" w14:textId="3E5B06D2" w:rsidR="00041727" w:rsidRPr="0070667D" w:rsidRDefault="001E6FA8" w:rsidP="00F61675">
            <w:pPr>
              <w:tabs>
                <w:tab w:val="clear" w:pos="1134"/>
              </w:tabs>
              <w:spacing w:after="60"/>
              <w:ind w:right="-108"/>
              <w:jc w:val="right"/>
              <w:rPr>
                <w:rFonts w:cs="Tahoma"/>
                <w:b/>
                <w:bCs/>
                <w:color w:val="365F91" w:themeColor="accent1" w:themeShade="BF"/>
                <w:szCs w:val="22"/>
                <w:lang w:val="es-ES"/>
              </w:rPr>
            </w:pPr>
            <w:r w:rsidRPr="0070667D">
              <w:rPr>
                <w:rFonts w:cs="Tahoma"/>
                <w:b/>
                <w:bCs/>
                <w:color w:val="365F91" w:themeColor="accent1" w:themeShade="BF"/>
                <w:szCs w:val="22"/>
                <w:lang w:val="es-ES"/>
              </w:rPr>
              <w:t>Cg-19</w:t>
            </w:r>
            <w:r w:rsidR="00A41E35" w:rsidRPr="0070667D">
              <w:rPr>
                <w:rFonts w:cs="Tahoma"/>
                <w:b/>
                <w:bCs/>
                <w:color w:val="365F91" w:themeColor="accent1" w:themeShade="BF"/>
                <w:szCs w:val="22"/>
                <w:lang w:val="es-ES"/>
              </w:rPr>
              <w:t xml:space="preserve">/Doc. </w:t>
            </w:r>
            <w:r w:rsidR="003E38D2" w:rsidRPr="0070667D">
              <w:rPr>
                <w:b/>
                <w:color w:val="365F91"/>
                <w:lang w:val="es-ES"/>
              </w:rPr>
              <w:t>4.2(2)</w:t>
            </w:r>
          </w:p>
        </w:tc>
      </w:tr>
      <w:tr w:rsidR="00041727" w:rsidRPr="0070667D" w14:paraId="637F4224" w14:textId="77777777" w:rsidTr="00AD33A8">
        <w:trPr>
          <w:trHeight w:val="730"/>
        </w:trPr>
        <w:tc>
          <w:tcPr>
            <w:tcW w:w="500" w:type="dxa"/>
            <w:vMerge/>
            <w:tcBorders>
              <w:bottom w:val="nil"/>
            </w:tcBorders>
          </w:tcPr>
          <w:p w14:paraId="66DB0131" w14:textId="77777777" w:rsidR="00041727" w:rsidRPr="0070667D"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7AC9A723" w14:textId="77777777" w:rsidR="00041727" w:rsidRPr="0070667D"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251DF0F6" w14:textId="7806A621" w:rsidR="00041727" w:rsidRPr="0070667D" w:rsidRDefault="00527225" w:rsidP="00527225">
            <w:pPr>
              <w:pStyle w:val="StyleComplexTahomaComplex11ptAccent1RightAfter-"/>
              <w:rPr>
                <w:lang w:val="es-ES"/>
              </w:rPr>
            </w:pPr>
            <w:r w:rsidRPr="0070667D">
              <w:rPr>
                <w:lang w:val="es-ES"/>
              </w:rPr>
              <w:t>Presentado por</w:t>
            </w:r>
            <w:r w:rsidR="00041727" w:rsidRPr="0070667D">
              <w:rPr>
                <w:lang w:val="es-ES"/>
              </w:rPr>
              <w:t>:</w:t>
            </w:r>
            <w:r w:rsidR="00041727" w:rsidRPr="0070667D">
              <w:rPr>
                <w:lang w:val="es-ES"/>
              </w:rPr>
              <w:br/>
            </w:r>
            <w:r w:rsidR="003E38D2" w:rsidRPr="0070667D">
              <w:rPr>
                <w:bCs/>
                <w:color w:val="365F91"/>
                <w:lang w:val="es-ES"/>
              </w:rPr>
              <w:t>presidente de la INFCOM</w:t>
            </w:r>
          </w:p>
          <w:p w14:paraId="08B1E1F7" w14:textId="44A8A9A4" w:rsidR="00041727" w:rsidRPr="0070667D" w:rsidRDefault="003E38D2" w:rsidP="00527225">
            <w:pPr>
              <w:pStyle w:val="StyleComplexTahomaComplex11ptAccent1RightAfter-"/>
              <w:rPr>
                <w:lang w:val="es-ES"/>
              </w:rPr>
            </w:pPr>
            <w:r w:rsidRPr="0070667D">
              <w:rPr>
                <w:bCs/>
                <w:color w:val="365F91"/>
                <w:lang w:val="es-ES"/>
              </w:rPr>
              <w:t>3</w:t>
            </w:r>
            <w:r w:rsidR="00527225" w:rsidRPr="0070667D">
              <w:rPr>
                <w:lang w:val="es-ES"/>
              </w:rPr>
              <w:t>.</w:t>
            </w:r>
            <w:r w:rsidRPr="0070667D">
              <w:rPr>
                <w:lang w:val="es-ES"/>
              </w:rPr>
              <w:t>IV</w:t>
            </w:r>
            <w:r w:rsidR="00A41E35" w:rsidRPr="0070667D">
              <w:rPr>
                <w:lang w:val="es-ES"/>
              </w:rPr>
              <w:t>.202</w:t>
            </w:r>
            <w:r w:rsidR="00C42ABF" w:rsidRPr="0070667D">
              <w:rPr>
                <w:lang w:val="es-ES"/>
              </w:rPr>
              <w:t>3</w:t>
            </w:r>
          </w:p>
          <w:p w14:paraId="2B3676FB" w14:textId="77777777" w:rsidR="00041727" w:rsidRPr="0070667D" w:rsidRDefault="00CF40BF" w:rsidP="002F6DAC">
            <w:pPr>
              <w:tabs>
                <w:tab w:val="clear" w:pos="1134"/>
              </w:tabs>
              <w:spacing w:before="120" w:after="60"/>
              <w:ind w:right="-108"/>
              <w:jc w:val="right"/>
              <w:rPr>
                <w:rFonts w:cs="Tahoma"/>
                <w:b/>
                <w:bCs/>
                <w:color w:val="365F91" w:themeColor="accent1" w:themeShade="BF"/>
                <w:szCs w:val="22"/>
                <w:lang w:val="es-ES"/>
              </w:rPr>
            </w:pPr>
            <w:r w:rsidRPr="0070667D">
              <w:rPr>
                <w:rFonts w:cs="Tahoma"/>
                <w:b/>
                <w:bCs/>
                <w:color w:val="365F91" w:themeColor="accent1" w:themeShade="BF"/>
                <w:szCs w:val="22"/>
                <w:lang w:val="es-ES"/>
              </w:rPr>
              <w:t>VERSIÓN 1</w:t>
            </w:r>
          </w:p>
        </w:tc>
      </w:tr>
    </w:tbl>
    <w:p w14:paraId="24193972" w14:textId="08DFF3B2" w:rsidR="00C4470F" w:rsidRPr="0070667D" w:rsidRDefault="001527A3" w:rsidP="00514EAC">
      <w:pPr>
        <w:pStyle w:val="WMOBodyText"/>
        <w:ind w:left="3969" w:hanging="3969"/>
        <w:rPr>
          <w:b/>
          <w:lang w:val="es-ES"/>
        </w:rPr>
      </w:pPr>
      <w:r w:rsidRPr="0070667D">
        <w:rPr>
          <w:b/>
          <w:lang w:val="es-ES"/>
        </w:rPr>
        <w:t xml:space="preserve">PUNTO </w:t>
      </w:r>
      <w:r w:rsidR="003E38D2" w:rsidRPr="0070667D">
        <w:rPr>
          <w:b/>
          <w:lang w:val="es-ES"/>
        </w:rPr>
        <w:t>4</w:t>
      </w:r>
      <w:r w:rsidRPr="0070667D">
        <w:rPr>
          <w:b/>
          <w:lang w:val="es-ES"/>
        </w:rPr>
        <w:t xml:space="preserve"> DEL ORDEN DEL DÍA:</w:t>
      </w:r>
      <w:r w:rsidR="00A41E35" w:rsidRPr="0070667D">
        <w:rPr>
          <w:b/>
          <w:lang w:val="es-ES"/>
        </w:rPr>
        <w:tab/>
      </w:r>
      <w:r w:rsidR="003E38D2" w:rsidRPr="0070667D">
        <w:rPr>
          <w:b/>
          <w:bCs/>
          <w:lang w:val="es-ES"/>
        </w:rPr>
        <w:t xml:space="preserve">ESTRATEGIAS TÉCNICAS EN APOYO </w:t>
      </w:r>
      <w:r w:rsidR="00D51676" w:rsidRPr="0070667D">
        <w:rPr>
          <w:b/>
          <w:bCs/>
          <w:lang w:val="es-ES"/>
        </w:rPr>
        <w:br/>
      </w:r>
      <w:r w:rsidR="003E38D2" w:rsidRPr="0070667D">
        <w:rPr>
          <w:b/>
          <w:bCs/>
          <w:lang w:val="es-ES"/>
        </w:rPr>
        <w:t xml:space="preserve">DE LA CONSECUCIÓN DE LAS METAS </w:t>
      </w:r>
      <w:r w:rsidR="001E7FC2" w:rsidRPr="0070667D">
        <w:rPr>
          <w:b/>
          <w:bCs/>
          <w:lang w:val="es-ES"/>
        </w:rPr>
        <w:br/>
      </w:r>
      <w:r w:rsidR="003E38D2" w:rsidRPr="0070667D">
        <w:rPr>
          <w:b/>
          <w:bCs/>
          <w:lang w:val="es-ES"/>
        </w:rPr>
        <w:t>A LARGO PLAZO</w:t>
      </w:r>
    </w:p>
    <w:p w14:paraId="76BD8022" w14:textId="75B36259" w:rsidR="001527A3" w:rsidRPr="0070667D" w:rsidRDefault="001527A3" w:rsidP="001527A3">
      <w:pPr>
        <w:pStyle w:val="WMOBodyText"/>
        <w:ind w:left="3969" w:hanging="3969"/>
        <w:rPr>
          <w:b/>
          <w:lang w:val="es-ES"/>
        </w:rPr>
      </w:pPr>
      <w:r w:rsidRPr="0070667D">
        <w:rPr>
          <w:b/>
          <w:lang w:val="es-ES"/>
        </w:rPr>
        <w:t xml:space="preserve">PUNTO </w:t>
      </w:r>
      <w:r w:rsidR="003E38D2" w:rsidRPr="0070667D">
        <w:rPr>
          <w:b/>
          <w:lang w:val="es-ES"/>
        </w:rPr>
        <w:t>4.2</w:t>
      </w:r>
      <w:r w:rsidRPr="0070667D">
        <w:rPr>
          <w:b/>
          <w:lang w:val="es-ES"/>
        </w:rPr>
        <w:t>:</w:t>
      </w:r>
      <w:r w:rsidRPr="0070667D">
        <w:rPr>
          <w:b/>
          <w:lang w:val="es-ES"/>
        </w:rPr>
        <w:tab/>
      </w:r>
      <w:r w:rsidR="003E38D2" w:rsidRPr="0070667D">
        <w:rPr>
          <w:b/>
          <w:lang w:val="es-ES"/>
        </w:rPr>
        <w:t>Observaciones y predicciones del sistema Tierra</w:t>
      </w:r>
    </w:p>
    <w:p w14:paraId="43EA219C" w14:textId="158916C0" w:rsidR="00814CC6" w:rsidRPr="0070667D" w:rsidRDefault="003E38D2" w:rsidP="00EC7CF5">
      <w:pPr>
        <w:pStyle w:val="Heading1"/>
        <w:spacing w:before="600" w:after="360"/>
        <w:rPr>
          <w:lang w:val="es-ES"/>
        </w:rPr>
      </w:pPr>
      <w:bookmarkStart w:id="0" w:name="_APPENDIX_A:_"/>
      <w:bookmarkEnd w:id="0"/>
      <w:r w:rsidRPr="0070667D">
        <w:rPr>
          <w:lang w:val="es-ES"/>
        </w:rPr>
        <w:t xml:space="preserve">COMPOSICIÓN INICIAL </w:t>
      </w:r>
      <w:r w:rsidR="001E7FC2" w:rsidRPr="0070667D">
        <w:rPr>
          <w:lang w:val="es-ES"/>
        </w:rPr>
        <w:br/>
      </w:r>
      <w:r w:rsidRPr="0070667D">
        <w:rPr>
          <w:lang w:val="es-ES"/>
        </w:rPr>
        <w:t>DE LA RED MUNDIAL BÁSICA DE OBSERVACIONES</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344076" w14:paraId="423FC789" w14:textId="77777777" w:rsidTr="008D34AF">
        <w:trPr>
          <w:jc w:val="center"/>
        </w:trPr>
        <w:tc>
          <w:tcPr>
            <w:tcW w:w="9526" w:type="dxa"/>
          </w:tcPr>
          <w:p w14:paraId="08183724" w14:textId="77777777" w:rsidR="00D262BA" w:rsidRPr="0070667D" w:rsidRDefault="00D262BA" w:rsidP="0000502B">
            <w:pPr>
              <w:pStyle w:val="WMOBodyText"/>
              <w:spacing w:after="240"/>
              <w:jc w:val="center"/>
              <w:rPr>
                <w:b/>
                <w:bCs/>
                <w:sz w:val="22"/>
                <w:szCs w:val="22"/>
                <w:lang w:val="es-ES"/>
              </w:rPr>
            </w:pPr>
            <w:r w:rsidRPr="0070667D">
              <w:rPr>
                <w:b/>
                <w:bCs/>
                <w:sz w:val="22"/>
                <w:szCs w:val="22"/>
                <w:lang w:val="es-ES"/>
              </w:rPr>
              <w:t>RESUMEN</w:t>
            </w:r>
          </w:p>
          <w:p w14:paraId="24080EE9" w14:textId="395F10D3" w:rsidR="00D262BA" w:rsidRPr="0070667D" w:rsidRDefault="00D262BA" w:rsidP="009D5D60">
            <w:pPr>
              <w:pStyle w:val="WMOBodyText"/>
              <w:spacing w:before="160"/>
              <w:jc w:val="left"/>
              <w:rPr>
                <w:lang w:val="es-ES"/>
              </w:rPr>
            </w:pPr>
            <w:r w:rsidRPr="0070667D">
              <w:rPr>
                <w:b/>
                <w:bCs/>
                <w:lang w:val="es-ES"/>
              </w:rPr>
              <w:t>Documento presentado por:</w:t>
            </w:r>
            <w:r w:rsidRPr="0070667D">
              <w:rPr>
                <w:lang w:val="es-ES"/>
              </w:rPr>
              <w:t xml:space="preserve"> </w:t>
            </w:r>
            <w:r w:rsidR="003E38D2" w:rsidRPr="0070667D">
              <w:rPr>
                <w:lang w:val="es-ES"/>
              </w:rPr>
              <w:t>el presidente de la Comisión de Observaciones, Infraestructura y Sistemas de Información (INFCOM)</w:t>
            </w:r>
            <w:r w:rsidR="001E7FC2" w:rsidRPr="0070667D">
              <w:rPr>
                <w:lang w:val="es-ES"/>
              </w:rPr>
              <w:t>,</w:t>
            </w:r>
            <w:r w:rsidR="003E38D2" w:rsidRPr="0070667D">
              <w:rPr>
                <w:lang w:val="es-ES"/>
              </w:rPr>
              <w:t xml:space="preserve"> en respuesta a la </w:t>
            </w:r>
            <w:hyperlink r:id="rId12" w:anchor="page=33" w:history="1">
              <w:r w:rsidR="003E38D2" w:rsidRPr="0070667D">
                <w:rPr>
                  <w:rStyle w:val="Hyperlink"/>
                  <w:lang w:val="es-ES"/>
                </w:rPr>
                <w:t>Resolución 2 (Cg</w:t>
              </w:r>
              <w:r w:rsidR="001E72D8" w:rsidRPr="0070667D">
                <w:rPr>
                  <w:rStyle w:val="Hyperlink"/>
                  <w:lang w:val="es-ES"/>
                </w:rPr>
                <w:noBreakHyphen/>
              </w:r>
              <w:r w:rsidR="003E38D2" w:rsidRPr="0070667D">
                <w:rPr>
                  <w:rStyle w:val="Hyperlink"/>
                  <w:lang w:val="es-ES"/>
                </w:rPr>
                <w:t>Ext(2021))</w:t>
              </w:r>
            </w:hyperlink>
            <w:r w:rsidR="003E38D2" w:rsidRPr="0070667D">
              <w:rPr>
                <w:lang w:val="es-ES"/>
              </w:rPr>
              <w:t xml:space="preserve"> — Enmiendas al Reglamento Técnico relativas al establecimiento de la Red Mundial Básica de Observaciones, en </w:t>
            </w:r>
            <w:r w:rsidR="00D407B9" w:rsidRPr="0070667D">
              <w:rPr>
                <w:lang w:val="es-ES"/>
              </w:rPr>
              <w:t xml:space="preserve">virtud de </w:t>
            </w:r>
            <w:r w:rsidR="003E38D2" w:rsidRPr="0070667D">
              <w:rPr>
                <w:lang w:val="es-ES"/>
              </w:rPr>
              <w:t xml:space="preserve">la </w:t>
            </w:r>
            <w:r w:rsidR="00D407B9" w:rsidRPr="0070667D">
              <w:rPr>
                <w:lang w:val="es-ES"/>
              </w:rPr>
              <w:t>c</w:t>
            </w:r>
            <w:r w:rsidR="003E38D2" w:rsidRPr="0070667D">
              <w:rPr>
                <w:lang w:val="es-ES"/>
              </w:rPr>
              <w:t>u</w:t>
            </w:r>
            <w:r w:rsidR="00D407B9" w:rsidRPr="0070667D">
              <w:rPr>
                <w:lang w:val="es-ES"/>
              </w:rPr>
              <w:t>al</w:t>
            </w:r>
            <w:r w:rsidR="003E38D2" w:rsidRPr="0070667D">
              <w:rPr>
                <w:lang w:val="es-ES"/>
              </w:rPr>
              <w:t xml:space="preserve"> se solicitó a la INFCOM, entre otr</w:t>
            </w:r>
            <w:r w:rsidR="002C5890" w:rsidRPr="0070667D">
              <w:rPr>
                <w:lang w:val="es-ES"/>
              </w:rPr>
              <w:t>a</w:t>
            </w:r>
            <w:r w:rsidR="003E38D2" w:rsidRPr="0070667D">
              <w:rPr>
                <w:lang w:val="es-ES"/>
              </w:rPr>
              <w:t>s</w:t>
            </w:r>
            <w:r w:rsidR="002C5890" w:rsidRPr="0070667D">
              <w:rPr>
                <w:lang w:val="es-ES"/>
              </w:rPr>
              <w:t xml:space="preserve"> cosas</w:t>
            </w:r>
            <w:r w:rsidR="003E38D2" w:rsidRPr="0070667D">
              <w:rPr>
                <w:lang w:val="es-ES"/>
              </w:rPr>
              <w:t xml:space="preserve">, que elaborase las directrices, procesos y procedimientos técnicos necesarios para </w:t>
            </w:r>
            <w:r w:rsidR="00C06ACF" w:rsidRPr="0070667D">
              <w:rPr>
                <w:lang w:val="es-ES"/>
              </w:rPr>
              <w:t>lo</w:t>
            </w:r>
            <w:r w:rsidR="007D56D1" w:rsidRPr="0070667D">
              <w:rPr>
                <w:lang w:val="es-ES"/>
              </w:rPr>
              <w:t>g</w:t>
            </w:r>
            <w:r w:rsidR="00C06ACF" w:rsidRPr="0070667D">
              <w:rPr>
                <w:lang w:val="es-ES"/>
              </w:rPr>
              <w:t xml:space="preserve">rar una </w:t>
            </w:r>
            <w:r w:rsidR="003E38D2" w:rsidRPr="0070667D">
              <w:rPr>
                <w:lang w:val="es-ES"/>
              </w:rPr>
              <w:t>implementa</w:t>
            </w:r>
            <w:r w:rsidR="00C06ACF" w:rsidRPr="0070667D">
              <w:rPr>
                <w:lang w:val="es-ES"/>
              </w:rPr>
              <w:t xml:space="preserve">ción </w:t>
            </w:r>
            <w:r w:rsidR="007D56D1" w:rsidRPr="0070667D">
              <w:rPr>
                <w:lang w:val="es-ES"/>
              </w:rPr>
              <w:t xml:space="preserve">expedita y eficiente de </w:t>
            </w:r>
            <w:r w:rsidR="003E38D2" w:rsidRPr="0070667D">
              <w:rPr>
                <w:lang w:val="es-ES"/>
              </w:rPr>
              <w:t xml:space="preserve">la </w:t>
            </w:r>
            <w:r w:rsidR="007D56D1" w:rsidRPr="0070667D">
              <w:rPr>
                <w:lang w:val="es-ES"/>
              </w:rPr>
              <w:t>Red Mundial Básica de Observaciones (</w:t>
            </w:r>
            <w:r w:rsidR="003E38D2" w:rsidRPr="0070667D">
              <w:rPr>
                <w:lang w:val="es-ES"/>
              </w:rPr>
              <w:t>GBON</w:t>
            </w:r>
            <w:r w:rsidR="007D56D1" w:rsidRPr="0070667D">
              <w:rPr>
                <w:lang w:val="es-ES"/>
              </w:rPr>
              <w:t>)</w:t>
            </w:r>
            <w:r w:rsidR="003E38D2" w:rsidRPr="0070667D">
              <w:rPr>
                <w:lang w:val="es-ES"/>
              </w:rPr>
              <w:t xml:space="preserve"> y </w:t>
            </w:r>
            <w:r w:rsidR="0009583D" w:rsidRPr="0070667D">
              <w:rPr>
                <w:lang w:val="es-ES"/>
              </w:rPr>
              <w:t xml:space="preserve">que </w:t>
            </w:r>
            <w:r w:rsidR="003E38D2" w:rsidRPr="0070667D">
              <w:rPr>
                <w:lang w:val="es-ES"/>
              </w:rPr>
              <w:t>adoptase las medidas requeridas para realizar un seguimiento eficaz del rendimiento y la conformidad de la red</w:t>
            </w:r>
            <w:r w:rsidR="008D34AF" w:rsidRPr="0070667D">
              <w:rPr>
                <w:bCs/>
                <w:lang w:val="es-ES"/>
              </w:rPr>
              <w:t>.</w:t>
            </w:r>
          </w:p>
          <w:p w14:paraId="6430C846" w14:textId="149E90D4" w:rsidR="00D262BA" w:rsidRPr="0070667D" w:rsidRDefault="00D262BA" w:rsidP="009D5D60">
            <w:pPr>
              <w:pStyle w:val="WMOBodyText"/>
              <w:spacing w:before="160"/>
              <w:jc w:val="left"/>
              <w:rPr>
                <w:b/>
                <w:bCs/>
                <w:lang w:val="es-ES"/>
              </w:rPr>
            </w:pPr>
            <w:r w:rsidRPr="0070667D">
              <w:rPr>
                <w:b/>
                <w:bCs/>
                <w:lang w:val="es-ES"/>
              </w:rPr>
              <w:t>Objetivo estratégico para 2020-2023:</w:t>
            </w:r>
            <w:r w:rsidR="003E02BB" w:rsidRPr="0070667D">
              <w:rPr>
                <w:lang w:val="es-ES"/>
              </w:rPr>
              <w:t xml:space="preserve"> 2.1 y su producto final 2.1.1 sobre el Plan Operativo del Sistema Mundial Integrado de Sistemas de Observación de la OMM (WIGOS)</w:t>
            </w:r>
            <w:r w:rsidR="00AC6DCA" w:rsidRPr="0070667D">
              <w:rPr>
                <w:lang w:val="es-ES"/>
              </w:rPr>
              <w:t>,</w:t>
            </w:r>
            <w:r w:rsidR="003E02BB" w:rsidRPr="0070667D">
              <w:rPr>
                <w:lang w:val="es-ES"/>
              </w:rPr>
              <w:t xml:space="preserve"> </w:t>
            </w:r>
            <w:r w:rsidR="00387A45" w:rsidRPr="0070667D">
              <w:rPr>
                <w:lang w:val="es-ES"/>
              </w:rPr>
              <w:t>que se logrará mediante</w:t>
            </w:r>
            <w:r w:rsidR="003E02BB" w:rsidRPr="0070667D">
              <w:rPr>
                <w:lang w:val="es-ES"/>
              </w:rPr>
              <w:t xml:space="preserve">: i) un WIGOS mejorado que suministre observaciones en apoyo de todas las prioridades, programas y esferas de aplicación de la </w:t>
            </w:r>
            <w:r w:rsidR="00BF0AB9" w:rsidRPr="0070667D">
              <w:rPr>
                <w:lang w:val="es-ES"/>
              </w:rPr>
              <w:t>Organización Meteorológica Mundial (</w:t>
            </w:r>
            <w:r w:rsidR="003E02BB" w:rsidRPr="0070667D">
              <w:rPr>
                <w:lang w:val="es-ES"/>
              </w:rPr>
              <w:t>OMM</w:t>
            </w:r>
            <w:r w:rsidR="00BF0AB9" w:rsidRPr="0070667D">
              <w:rPr>
                <w:lang w:val="es-ES"/>
              </w:rPr>
              <w:t>)</w:t>
            </w:r>
            <w:r w:rsidR="003E02BB" w:rsidRPr="0070667D">
              <w:rPr>
                <w:lang w:val="es-ES"/>
              </w:rPr>
              <w:t>; ii) una mayor notoriedad de los Servicios Meteorológicos e Hidrológicos Nacionales (SMHN) a nivel nacional y un fortalecimiento del papel que desempeñan; y iii)</w:t>
            </w:r>
            <w:r w:rsidR="00B3756E" w:rsidRPr="0070667D">
              <w:rPr>
                <w:lang w:val="es-ES"/>
              </w:rPr>
              <w:t> </w:t>
            </w:r>
            <w:r w:rsidR="003E02BB" w:rsidRPr="0070667D">
              <w:rPr>
                <w:lang w:val="es-ES"/>
              </w:rPr>
              <w:t xml:space="preserve">una mayor integración de </w:t>
            </w:r>
            <w:r w:rsidR="009837FB" w:rsidRPr="0070667D">
              <w:rPr>
                <w:lang w:val="es-ES"/>
              </w:rPr>
              <w:t xml:space="preserve">las </w:t>
            </w:r>
            <w:r w:rsidR="003E02BB" w:rsidRPr="0070667D">
              <w:rPr>
                <w:lang w:val="es-ES"/>
              </w:rPr>
              <w:t xml:space="preserve">observaciones de la OMM y de otras fuentes no pertenecientes a la Organización, </w:t>
            </w:r>
            <w:r w:rsidR="00795324" w:rsidRPr="0070667D">
              <w:rPr>
                <w:lang w:val="es-ES"/>
              </w:rPr>
              <w:t xml:space="preserve">y una intensificación de su libre intercambio, </w:t>
            </w:r>
            <w:r w:rsidR="003E02BB" w:rsidRPr="0070667D">
              <w:rPr>
                <w:lang w:val="es-ES"/>
              </w:rPr>
              <w:t>más allá de las fronteras nacionales y regionales</w:t>
            </w:r>
            <w:r w:rsidR="008D34AF" w:rsidRPr="0070667D">
              <w:rPr>
                <w:bCs/>
                <w:lang w:val="es-ES"/>
              </w:rPr>
              <w:t>.</w:t>
            </w:r>
          </w:p>
          <w:p w14:paraId="3E801825" w14:textId="641B45A7" w:rsidR="00D262BA" w:rsidRPr="0070667D" w:rsidRDefault="00D262BA" w:rsidP="009D5D60">
            <w:pPr>
              <w:pStyle w:val="WMOBodyText"/>
              <w:spacing w:before="160"/>
              <w:jc w:val="left"/>
              <w:rPr>
                <w:lang w:val="es-ES"/>
              </w:rPr>
            </w:pPr>
            <w:r w:rsidRPr="0070667D">
              <w:rPr>
                <w:b/>
                <w:bCs/>
                <w:lang w:val="es-ES"/>
              </w:rPr>
              <w:t>Consecuencias financieras y administrativas:</w:t>
            </w:r>
            <w:r w:rsidR="003E02BB" w:rsidRPr="0070667D">
              <w:rPr>
                <w:lang w:val="es-ES"/>
              </w:rPr>
              <w:t xml:space="preserve"> </w:t>
            </w:r>
            <w:r w:rsidR="00BF0AB9" w:rsidRPr="0070667D">
              <w:rPr>
                <w:lang w:val="es-ES"/>
              </w:rPr>
              <w:t>d</w:t>
            </w:r>
            <w:r w:rsidR="003E02BB" w:rsidRPr="0070667D">
              <w:rPr>
                <w:lang w:val="es-ES"/>
              </w:rPr>
              <w:t>entro de los parámetros del Plan Estratégico y del Plan de Funcionamiento para 2020-2023</w:t>
            </w:r>
            <w:r w:rsidR="00BF0AB9" w:rsidRPr="0070667D">
              <w:rPr>
                <w:lang w:val="es-ES"/>
              </w:rPr>
              <w:t>; s</w:t>
            </w:r>
            <w:r w:rsidR="003E02BB" w:rsidRPr="0070667D">
              <w:rPr>
                <w:lang w:val="es-ES"/>
              </w:rPr>
              <w:t>e pondrán de manifiesto en el Plan Estratégico y el Plan de Funcionamiento para 2024-2027</w:t>
            </w:r>
            <w:r w:rsidR="008D34AF" w:rsidRPr="0070667D">
              <w:rPr>
                <w:bCs/>
                <w:lang w:val="es-ES"/>
              </w:rPr>
              <w:t>.</w:t>
            </w:r>
          </w:p>
          <w:p w14:paraId="532B20CD" w14:textId="2F563373" w:rsidR="00D262BA" w:rsidRPr="0070667D" w:rsidRDefault="00D262BA" w:rsidP="009D5D60">
            <w:pPr>
              <w:pStyle w:val="WMOBodyText"/>
              <w:spacing w:before="160"/>
              <w:jc w:val="left"/>
              <w:rPr>
                <w:lang w:val="es-ES"/>
              </w:rPr>
            </w:pPr>
            <w:r w:rsidRPr="0070667D">
              <w:rPr>
                <w:b/>
                <w:bCs/>
                <w:lang w:val="es-ES"/>
              </w:rPr>
              <w:t>Principales encargados de la ejecución:</w:t>
            </w:r>
            <w:r w:rsidR="003E02BB" w:rsidRPr="0070667D">
              <w:rPr>
                <w:lang w:val="es-ES"/>
              </w:rPr>
              <w:t xml:space="preserve"> </w:t>
            </w:r>
            <w:r w:rsidR="002470F0" w:rsidRPr="0070667D">
              <w:rPr>
                <w:lang w:val="es-ES"/>
              </w:rPr>
              <w:t>l</w:t>
            </w:r>
            <w:r w:rsidR="003E02BB" w:rsidRPr="0070667D">
              <w:rPr>
                <w:lang w:val="es-ES"/>
              </w:rPr>
              <w:t>a INFCOM</w:t>
            </w:r>
            <w:r w:rsidR="008D34AF" w:rsidRPr="0070667D">
              <w:rPr>
                <w:bCs/>
                <w:lang w:val="es-ES"/>
              </w:rPr>
              <w:t>.</w:t>
            </w:r>
          </w:p>
          <w:p w14:paraId="38963EC0" w14:textId="0CCCB6AB" w:rsidR="00D262BA" w:rsidRPr="0070667D" w:rsidRDefault="00D262BA" w:rsidP="009D5D60">
            <w:pPr>
              <w:pStyle w:val="WMOBodyText"/>
              <w:spacing w:before="160"/>
              <w:jc w:val="left"/>
              <w:rPr>
                <w:lang w:val="es-ES"/>
              </w:rPr>
            </w:pPr>
            <w:r w:rsidRPr="0070667D">
              <w:rPr>
                <w:b/>
                <w:bCs/>
                <w:lang w:val="es-ES"/>
              </w:rPr>
              <w:t>Cronograma:</w:t>
            </w:r>
            <w:r w:rsidR="003E02BB" w:rsidRPr="0070667D">
              <w:rPr>
                <w:lang w:val="es-ES"/>
              </w:rPr>
              <w:t xml:space="preserve"> 2023</w:t>
            </w:r>
            <w:r w:rsidR="002470F0" w:rsidRPr="0070667D">
              <w:rPr>
                <w:lang w:val="es-ES"/>
              </w:rPr>
              <w:t>-</w:t>
            </w:r>
            <w:r w:rsidR="003E02BB" w:rsidRPr="0070667D">
              <w:rPr>
                <w:lang w:val="es-ES"/>
              </w:rPr>
              <w:t>2027</w:t>
            </w:r>
            <w:r w:rsidR="002470F0" w:rsidRPr="0070667D">
              <w:rPr>
                <w:lang w:val="es-ES"/>
              </w:rPr>
              <w:t>.</w:t>
            </w:r>
          </w:p>
          <w:p w14:paraId="76F22343" w14:textId="20473A18" w:rsidR="00D262BA" w:rsidRPr="0070667D" w:rsidRDefault="00D262BA" w:rsidP="009D5D60">
            <w:pPr>
              <w:pStyle w:val="WMOBodyText"/>
              <w:spacing w:before="160" w:after="240"/>
              <w:jc w:val="left"/>
              <w:rPr>
                <w:b/>
                <w:bCs/>
                <w:sz w:val="22"/>
                <w:szCs w:val="22"/>
                <w:lang w:val="es-ES"/>
              </w:rPr>
            </w:pPr>
            <w:r w:rsidRPr="0070667D">
              <w:rPr>
                <w:b/>
                <w:bCs/>
                <w:lang w:val="es-ES"/>
              </w:rPr>
              <w:t>Medida prevista:</w:t>
            </w:r>
            <w:r w:rsidR="003E02BB" w:rsidRPr="0070667D">
              <w:rPr>
                <w:lang w:val="es-ES"/>
              </w:rPr>
              <w:t xml:space="preserve"> </w:t>
            </w:r>
            <w:r w:rsidR="002470F0" w:rsidRPr="0070667D">
              <w:rPr>
                <w:lang w:val="es-ES"/>
              </w:rPr>
              <w:t>e</w:t>
            </w:r>
            <w:r w:rsidR="003E02BB" w:rsidRPr="0070667D">
              <w:rPr>
                <w:lang w:val="es-ES"/>
              </w:rPr>
              <w:t>xaminar y aprobar el proyecto de resolución propuesto</w:t>
            </w:r>
            <w:r w:rsidR="008D34AF" w:rsidRPr="0070667D">
              <w:rPr>
                <w:bCs/>
                <w:lang w:val="es-ES"/>
              </w:rPr>
              <w:t>.</w:t>
            </w:r>
          </w:p>
        </w:tc>
      </w:tr>
    </w:tbl>
    <w:p w14:paraId="23D6B8E6" w14:textId="77777777" w:rsidR="00D262BA" w:rsidRPr="0070667D" w:rsidRDefault="00D262BA" w:rsidP="00EC7CF5">
      <w:pPr>
        <w:pStyle w:val="WMOBodyText"/>
        <w:spacing w:before="0"/>
        <w:rPr>
          <w:lang w:val="es-ES"/>
        </w:rPr>
      </w:pPr>
    </w:p>
    <w:p w14:paraId="7F801921" w14:textId="77777777" w:rsidR="0047720E" w:rsidRPr="0070667D" w:rsidRDefault="00B01B02">
      <w:pPr>
        <w:tabs>
          <w:tab w:val="clear" w:pos="1134"/>
        </w:tabs>
        <w:jc w:val="left"/>
        <w:rPr>
          <w:lang w:val="es-ES"/>
        </w:rPr>
      </w:pPr>
      <w:r w:rsidRPr="0070667D">
        <w:rPr>
          <w:lang w:val="es-ES"/>
        </w:rPr>
        <w:br w:type="page"/>
      </w:r>
    </w:p>
    <w:p w14:paraId="7051156D" w14:textId="77777777" w:rsidR="0047720E" w:rsidRPr="0070667D" w:rsidRDefault="0047720E" w:rsidP="0047720E">
      <w:pPr>
        <w:tabs>
          <w:tab w:val="clear" w:pos="1134"/>
        </w:tabs>
        <w:jc w:val="center"/>
        <w:rPr>
          <w:b/>
          <w:bCs/>
          <w:sz w:val="22"/>
          <w:szCs w:val="22"/>
          <w:lang w:val="es-ES"/>
        </w:rPr>
      </w:pPr>
      <w:r w:rsidRPr="0070667D">
        <w:rPr>
          <w:b/>
          <w:bCs/>
          <w:sz w:val="22"/>
          <w:szCs w:val="22"/>
          <w:lang w:val="es-ES"/>
        </w:rPr>
        <w:lastRenderedPageBreak/>
        <w:t>INFORMACIÓN GENERAL</w:t>
      </w:r>
    </w:p>
    <w:p w14:paraId="0296D686" w14:textId="0D231007" w:rsidR="0047720E" w:rsidRPr="0070667D" w:rsidRDefault="00D932E1" w:rsidP="002470F0">
      <w:pPr>
        <w:pStyle w:val="WMOBodyText"/>
        <w:numPr>
          <w:ilvl w:val="0"/>
          <w:numId w:val="46"/>
        </w:numPr>
        <w:tabs>
          <w:tab w:val="left" w:pos="567"/>
        </w:tabs>
        <w:ind w:left="0" w:hanging="11"/>
        <w:rPr>
          <w:lang w:val="es-ES"/>
        </w:rPr>
      </w:pPr>
      <w:r w:rsidRPr="0070667D">
        <w:rPr>
          <w:lang w:val="es-ES"/>
        </w:rPr>
        <w:t xml:space="preserve">En virtud de la </w:t>
      </w:r>
      <w:hyperlink r:id="rId13" w:anchor="page=33" w:history="1">
        <w:r w:rsidR="002470F0" w:rsidRPr="0070667D">
          <w:rPr>
            <w:rStyle w:val="Hyperlink"/>
            <w:lang w:val="es-ES"/>
          </w:rPr>
          <w:t>Resolución 2 (Cg</w:t>
        </w:r>
        <w:r w:rsidR="002470F0" w:rsidRPr="0070667D">
          <w:rPr>
            <w:rStyle w:val="Hyperlink"/>
            <w:lang w:val="es-ES"/>
          </w:rPr>
          <w:noBreakHyphen/>
          <w:t>Ext(2021))</w:t>
        </w:r>
      </w:hyperlink>
      <w:r w:rsidRPr="0070667D">
        <w:rPr>
          <w:lang w:val="es-ES"/>
        </w:rPr>
        <w:t xml:space="preserve"> — Enmiendas al Reglamento Técnico relativas al establecimiento de la Red Mundial Básica de Observaciones, el Congreso </w:t>
      </w:r>
      <w:r w:rsidR="002470F0" w:rsidRPr="0070667D">
        <w:rPr>
          <w:lang w:val="es-ES"/>
        </w:rPr>
        <w:t xml:space="preserve">Meteorológico Mundial </w:t>
      </w:r>
      <w:r w:rsidRPr="0070667D">
        <w:rPr>
          <w:lang w:val="es-ES"/>
        </w:rPr>
        <w:t xml:space="preserve">decidió que las disposiciones del Reglamento Técnico aplicables a la </w:t>
      </w:r>
      <w:r w:rsidR="00A62F6A" w:rsidRPr="0070667D">
        <w:rPr>
          <w:lang w:val="es-ES"/>
        </w:rPr>
        <w:t>Red Mundial Básica de Observaciones (</w:t>
      </w:r>
      <w:r w:rsidRPr="0070667D">
        <w:rPr>
          <w:lang w:val="es-ES"/>
        </w:rPr>
        <w:t>GBON</w:t>
      </w:r>
      <w:r w:rsidR="00A62F6A" w:rsidRPr="0070667D">
        <w:rPr>
          <w:lang w:val="es-ES"/>
        </w:rPr>
        <w:t>)</w:t>
      </w:r>
      <w:r w:rsidRPr="0070667D">
        <w:rPr>
          <w:lang w:val="es-ES"/>
        </w:rPr>
        <w:t xml:space="preserve"> entrarían en vigor a partir del 1 de enero de 2023</w:t>
      </w:r>
      <w:r w:rsidR="00280CB9" w:rsidRPr="0070667D">
        <w:rPr>
          <w:lang w:val="es-ES"/>
        </w:rPr>
        <w:t>,</w:t>
      </w:r>
      <w:r w:rsidRPr="0070667D">
        <w:rPr>
          <w:lang w:val="es-ES"/>
        </w:rPr>
        <w:t xml:space="preserve"> y solicitó a la Comisión de Observaciones, Infraestructura y Sistemas de Información (INFCOM), entre otr</w:t>
      </w:r>
      <w:r w:rsidR="00972D62" w:rsidRPr="0070667D">
        <w:rPr>
          <w:lang w:val="es-ES"/>
        </w:rPr>
        <w:t>a</w:t>
      </w:r>
      <w:r w:rsidRPr="0070667D">
        <w:rPr>
          <w:lang w:val="es-ES"/>
        </w:rPr>
        <w:t>s</w:t>
      </w:r>
      <w:r w:rsidR="00972D62" w:rsidRPr="0070667D">
        <w:rPr>
          <w:lang w:val="es-ES"/>
        </w:rPr>
        <w:t xml:space="preserve"> cosas</w:t>
      </w:r>
      <w:r w:rsidRPr="0070667D">
        <w:rPr>
          <w:lang w:val="es-ES"/>
        </w:rPr>
        <w:t xml:space="preserve">, que elaborase las directrices, procesos y procedimientos técnicos necesarios para </w:t>
      </w:r>
      <w:r w:rsidR="00C42923" w:rsidRPr="0070667D">
        <w:rPr>
          <w:lang w:val="es-ES"/>
        </w:rPr>
        <w:t xml:space="preserve">lograr una implementación expedita y eficiente de la </w:t>
      </w:r>
      <w:r w:rsidRPr="0070667D">
        <w:rPr>
          <w:lang w:val="es-ES"/>
        </w:rPr>
        <w:t xml:space="preserve">GBON y </w:t>
      </w:r>
      <w:r w:rsidR="0009583D" w:rsidRPr="0070667D">
        <w:rPr>
          <w:lang w:val="es-ES"/>
        </w:rPr>
        <w:t xml:space="preserve">que </w:t>
      </w:r>
      <w:r w:rsidRPr="0070667D">
        <w:rPr>
          <w:lang w:val="es-ES"/>
        </w:rPr>
        <w:t>adoptase las medidas requeridas para realizar un seguimiento eficaz del rendimiento y la conformidad de la red.</w:t>
      </w:r>
    </w:p>
    <w:p w14:paraId="6D5B358E" w14:textId="6F6FDD50" w:rsidR="00427E27" w:rsidRPr="0070667D" w:rsidRDefault="00427E27" w:rsidP="002470F0">
      <w:pPr>
        <w:pStyle w:val="WMOBodyText"/>
        <w:numPr>
          <w:ilvl w:val="0"/>
          <w:numId w:val="46"/>
        </w:numPr>
        <w:tabs>
          <w:tab w:val="left" w:pos="567"/>
        </w:tabs>
        <w:ind w:left="0" w:hanging="11"/>
        <w:rPr>
          <w:lang w:val="es-ES"/>
        </w:rPr>
      </w:pPr>
      <w:r w:rsidRPr="0070667D">
        <w:rPr>
          <w:lang w:val="es-ES"/>
        </w:rPr>
        <w:t xml:space="preserve">Poco después de la celebración del Congreso, el presidente de la </w:t>
      </w:r>
      <w:r w:rsidR="00F057D1" w:rsidRPr="0070667D">
        <w:rPr>
          <w:lang w:val="es-ES"/>
        </w:rPr>
        <w:t xml:space="preserve">INFCOM </w:t>
      </w:r>
      <w:r w:rsidRPr="0070667D">
        <w:rPr>
          <w:lang w:val="es-ES"/>
        </w:rPr>
        <w:t xml:space="preserve">decidió establecer un Equipo </w:t>
      </w:r>
      <w:r w:rsidR="00EB7B07" w:rsidRPr="0070667D">
        <w:rPr>
          <w:lang w:val="es-ES"/>
        </w:rPr>
        <w:t>E</w:t>
      </w:r>
      <w:r w:rsidRPr="0070667D">
        <w:rPr>
          <w:lang w:val="es-ES"/>
        </w:rPr>
        <w:t xml:space="preserve">special </w:t>
      </w:r>
      <w:r w:rsidR="00E72167" w:rsidRPr="0070667D">
        <w:rPr>
          <w:lang w:val="es-ES"/>
        </w:rPr>
        <w:t>para la I</w:t>
      </w:r>
      <w:r w:rsidRPr="0070667D">
        <w:rPr>
          <w:lang w:val="es-ES"/>
        </w:rPr>
        <w:t>mplementación de la GBON (TT-GBON)</w:t>
      </w:r>
      <w:r w:rsidR="00F40269" w:rsidRPr="0070667D">
        <w:rPr>
          <w:lang w:val="es-ES"/>
        </w:rPr>
        <w:t>,</w:t>
      </w:r>
      <w:r w:rsidRPr="0070667D">
        <w:rPr>
          <w:lang w:val="es-ES"/>
        </w:rPr>
        <w:t xml:space="preserve"> que se encarga</w:t>
      </w:r>
      <w:r w:rsidR="00F40269" w:rsidRPr="0070667D">
        <w:rPr>
          <w:lang w:val="es-ES"/>
        </w:rPr>
        <w:t xml:space="preserve">ría </w:t>
      </w:r>
      <w:r w:rsidRPr="0070667D">
        <w:rPr>
          <w:lang w:val="es-ES"/>
        </w:rPr>
        <w:t>de coordina</w:t>
      </w:r>
      <w:r w:rsidR="00A15128" w:rsidRPr="0070667D">
        <w:rPr>
          <w:lang w:val="es-ES"/>
        </w:rPr>
        <w:t xml:space="preserve">r </w:t>
      </w:r>
      <w:r w:rsidRPr="0070667D">
        <w:rPr>
          <w:lang w:val="es-ES"/>
        </w:rPr>
        <w:t>y supervis</w:t>
      </w:r>
      <w:r w:rsidR="00A15128" w:rsidRPr="0070667D">
        <w:rPr>
          <w:lang w:val="es-ES"/>
        </w:rPr>
        <w:t xml:space="preserve">ar </w:t>
      </w:r>
      <w:r w:rsidRPr="0070667D">
        <w:rPr>
          <w:lang w:val="es-ES"/>
        </w:rPr>
        <w:t xml:space="preserve">el trabajo </w:t>
      </w:r>
      <w:r w:rsidR="00167058" w:rsidRPr="0070667D">
        <w:rPr>
          <w:lang w:val="es-ES"/>
        </w:rPr>
        <w:t xml:space="preserve">requerido para dar cumplimiento a la solicitud del </w:t>
      </w:r>
      <w:r w:rsidRPr="0070667D">
        <w:rPr>
          <w:lang w:val="es-ES"/>
        </w:rPr>
        <w:t xml:space="preserve">Congreso. La función de dicho </w:t>
      </w:r>
      <w:r w:rsidR="00A15128" w:rsidRPr="0070667D">
        <w:rPr>
          <w:lang w:val="es-ES"/>
        </w:rPr>
        <w:t>e</w:t>
      </w:r>
      <w:r w:rsidRPr="0070667D">
        <w:rPr>
          <w:lang w:val="es-ES"/>
        </w:rPr>
        <w:t>quipo especial consist</w:t>
      </w:r>
      <w:r w:rsidR="00BB1264" w:rsidRPr="0070667D">
        <w:rPr>
          <w:lang w:val="es-ES"/>
        </w:rPr>
        <w:t>e</w:t>
      </w:r>
      <w:r w:rsidRPr="0070667D">
        <w:rPr>
          <w:lang w:val="es-ES"/>
        </w:rPr>
        <w:t xml:space="preserve">, principalmente, en supervisar y coordinar cierto número de tareas agrupadas </w:t>
      </w:r>
      <w:r w:rsidR="00334DA0" w:rsidRPr="0070667D">
        <w:rPr>
          <w:lang w:val="es-ES"/>
        </w:rPr>
        <w:t xml:space="preserve">en </w:t>
      </w:r>
      <w:r w:rsidRPr="0070667D">
        <w:rPr>
          <w:lang w:val="es-ES"/>
        </w:rPr>
        <w:t>las siguientes categorías generales:</w:t>
      </w:r>
    </w:p>
    <w:p w14:paraId="1AE5B6F1" w14:textId="3DE51A81" w:rsidR="00E55218" w:rsidRPr="0070667D" w:rsidRDefault="00E55218" w:rsidP="00334DA0">
      <w:pPr>
        <w:pStyle w:val="WMOIndent1"/>
        <w:tabs>
          <w:tab w:val="clear" w:pos="567"/>
        </w:tabs>
        <w:ind w:left="1134"/>
        <w:rPr>
          <w:shd w:val="clear" w:color="auto" w:fill="FAF9F8"/>
          <w:lang w:val="es-ES"/>
        </w:rPr>
      </w:pPr>
      <w:r w:rsidRPr="0070667D">
        <w:rPr>
          <w:lang w:val="es-ES"/>
        </w:rPr>
        <w:t>a)</w:t>
      </w:r>
      <w:r w:rsidRPr="0070667D">
        <w:rPr>
          <w:lang w:val="es-ES"/>
        </w:rPr>
        <w:tab/>
      </w:r>
      <w:r w:rsidR="008850A8" w:rsidRPr="0070667D">
        <w:rPr>
          <w:lang w:val="es-ES"/>
        </w:rPr>
        <w:t>c</w:t>
      </w:r>
      <w:r w:rsidRPr="0070667D">
        <w:rPr>
          <w:lang w:val="es-ES"/>
        </w:rPr>
        <w:t xml:space="preserve">omposición inicial de la GBON y análisis de </w:t>
      </w:r>
      <w:r w:rsidR="008850A8" w:rsidRPr="0070667D">
        <w:rPr>
          <w:lang w:val="es-ES"/>
        </w:rPr>
        <w:t xml:space="preserve">las carencias </w:t>
      </w:r>
      <w:r w:rsidRPr="0070667D">
        <w:rPr>
          <w:lang w:val="es-ES"/>
        </w:rPr>
        <w:t xml:space="preserve">de la </w:t>
      </w:r>
      <w:r w:rsidR="008850A8" w:rsidRPr="0070667D">
        <w:rPr>
          <w:lang w:val="es-ES"/>
        </w:rPr>
        <w:t>r</w:t>
      </w:r>
      <w:r w:rsidRPr="0070667D">
        <w:rPr>
          <w:lang w:val="es-ES"/>
        </w:rPr>
        <w:t>ed;</w:t>
      </w:r>
    </w:p>
    <w:p w14:paraId="79A7FBC3" w14:textId="608EE1C0" w:rsidR="00E55218" w:rsidRPr="0070667D" w:rsidRDefault="00E55218" w:rsidP="00334DA0">
      <w:pPr>
        <w:pStyle w:val="WMOIndent1"/>
        <w:tabs>
          <w:tab w:val="clear" w:pos="567"/>
        </w:tabs>
        <w:ind w:left="1134"/>
        <w:rPr>
          <w:shd w:val="clear" w:color="auto" w:fill="FAF9F8"/>
          <w:lang w:val="es-ES"/>
        </w:rPr>
      </w:pPr>
      <w:r w:rsidRPr="0070667D">
        <w:rPr>
          <w:lang w:val="es-ES"/>
        </w:rPr>
        <w:t>b)</w:t>
      </w:r>
      <w:r w:rsidRPr="0070667D">
        <w:rPr>
          <w:lang w:val="es-ES"/>
        </w:rPr>
        <w:tab/>
      </w:r>
      <w:r w:rsidR="008850A8" w:rsidRPr="0070667D">
        <w:rPr>
          <w:lang w:val="es-ES"/>
        </w:rPr>
        <w:t>c</w:t>
      </w:r>
      <w:r w:rsidRPr="0070667D">
        <w:rPr>
          <w:lang w:val="es-ES"/>
        </w:rPr>
        <w:t>umplimiento de los requisitos relativos a la GBON por parte de los Miembros;</w:t>
      </w:r>
    </w:p>
    <w:p w14:paraId="3C725B3B" w14:textId="5982F03A" w:rsidR="00E55218" w:rsidRPr="0070667D" w:rsidRDefault="00E55218" w:rsidP="00334DA0">
      <w:pPr>
        <w:pStyle w:val="WMOIndent1"/>
        <w:tabs>
          <w:tab w:val="clear" w:pos="567"/>
        </w:tabs>
        <w:ind w:left="1134"/>
        <w:rPr>
          <w:shd w:val="clear" w:color="auto" w:fill="FAF9F8"/>
          <w:lang w:val="es-ES"/>
        </w:rPr>
      </w:pPr>
      <w:r w:rsidRPr="0070667D">
        <w:rPr>
          <w:lang w:val="es-ES"/>
        </w:rPr>
        <w:t>c)</w:t>
      </w:r>
      <w:r w:rsidRPr="0070667D">
        <w:rPr>
          <w:lang w:val="es-ES"/>
        </w:rPr>
        <w:tab/>
      </w:r>
      <w:r w:rsidR="008850A8" w:rsidRPr="0070667D">
        <w:rPr>
          <w:lang w:val="es-ES"/>
        </w:rPr>
        <w:t>a</w:t>
      </w:r>
      <w:r w:rsidRPr="0070667D">
        <w:rPr>
          <w:lang w:val="es-ES"/>
        </w:rPr>
        <w:t xml:space="preserve">nálisis mundial actualizado de </w:t>
      </w:r>
      <w:r w:rsidR="008850A8" w:rsidRPr="0070667D">
        <w:rPr>
          <w:lang w:val="es-ES"/>
        </w:rPr>
        <w:t xml:space="preserve">las carencias </w:t>
      </w:r>
      <w:r w:rsidRPr="0070667D">
        <w:rPr>
          <w:lang w:val="es-ES"/>
        </w:rPr>
        <w:t>de la GBON;</w:t>
      </w:r>
    </w:p>
    <w:p w14:paraId="0A22B5C9" w14:textId="77777777" w:rsidR="00E55218" w:rsidRPr="0070667D" w:rsidRDefault="00E55218" w:rsidP="00334DA0">
      <w:pPr>
        <w:pStyle w:val="WMOIndent1"/>
        <w:tabs>
          <w:tab w:val="clear" w:pos="567"/>
        </w:tabs>
        <w:ind w:left="1134"/>
        <w:rPr>
          <w:shd w:val="clear" w:color="auto" w:fill="FAF9F8"/>
          <w:lang w:val="es-ES"/>
        </w:rPr>
      </w:pPr>
      <w:r w:rsidRPr="0070667D">
        <w:rPr>
          <w:lang w:val="es-ES"/>
        </w:rPr>
        <w:t>d)</w:t>
      </w:r>
      <w:r w:rsidRPr="0070667D">
        <w:rPr>
          <w:lang w:val="es-ES"/>
        </w:rPr>
        <w:tab/>
        <w:t>Herramienta de Análisis y Examen de la Capacidad de los Sistemas de Observación en Superficie (OSCAR/Superficie) y gestión de los metadatos del Sistema Mundial Integrado de Sistemas de Observación de la OMM (WIGOS) para la GBON;</w:t>
      </w:r>
    </w:p>
    <w:p w14:paraId="70A4A134" w14:textId="0132CDF8" w:rsidR="00E55218" w:rsidRPr="0070667D" w:rsidRDefault="00E55218" w:rsidP="00334DA0">
      <w:pPr>
        <w:pStyle w:val="WMOIndent1"/>
        <w:tabs>
          <w:tab w:val="clear" w:pos="567"/>
        </w:tabs>
        <w:ind w:left="1134"/>
        <w:rPr>
          <w:shd w:val="clear" w:color="auto" w:fill="FAF9F8"/>
          <w:lang w:val="es-ES"/>
        </w:rPr>
      </w:pPr>
      <w:r w:rsidRPr="0070667D">
        <w:rPr>
          <w:lang w:val="es-ES"/>
        </w:rPr>
        <w:t>e)</w:t>
      </w:r>
      <w:r w:rsidRPr="0070667D">
        <w:rPr>
          <w:lang w:val="es-ES"/>
        </w:rPr>
        <w:tab/>
        <w:t xml:space="preserve">Sistema de </w:t>
      </w:r>
      <w:r w:rsidR="0064540C" w:rsidRPr="0070667D">
        <w:rPr>
          <w:lang w:val="es-ES"/>
        </w:rPr>
        <w:t>C</w:t>
      </w:r>
      <w:r w:rsidRPr="0070667D">
        <w:rPr>
          <w:lang w:val="es-ES"/>
        </w:rPr>
        <w:t xml:space="preserve">ontrol de la </w:t>
      </w:r>
      <w:r w:rsidR="0064540C" w:rsidRPr="0070667D">
        <w:rPr>
          <w:lang w:val="es-ES"/>
        </w:rPr>
        <w:t>C</w:t>
      </w:r>
      <w:r w:rsidRPr="0070667D">
        <w:rPr>
          <w:lang w:val="es-ES"/>
        </w:rPr>
        <w:t xml:space="preserve">alidad de los </w:t>
      </w:r>
      <w:r w:rsidR="0064540C" w:rsidRPr="0070667D">
        <w:rPr>
          <w:lang w:val="es-ES"/>
        </w:rPr>
        <w:t>D</w:t>
      </w:r>
      <w:r w:rsidRPr="0070667D">
        <w:rPr>
          <w:lang w:val="es-ES"/>
        </w:rPr>
        <w:t>atos del WIGOS</w:t>
      </w:r>
      <w:r w:rsidR="0064540C" w:rsidRPr="0070667D">
        <w:rPr>
          <w:lang w:val="es-ES"/>
        </w:rPr>
        <w:t xml:space="preserve"> (WDQMS)</w:t>
      </w:r>
      <w:r w:rsidRPr="0070667D">
        <w:rPr>
          <w:lang w:val="es-ES"/>
        </w:rPr>
        <w:t>;</w:t>
      </w:r>
    </w:p>
    <w:p w14:paraId="76C94924" w14:textId="45925002" w:rsidR="00E55218" w:rsidRPr="0070667D" w:rsidRDefault="00E55218" w:rsidP="00334DA0">
      <w:pPr>
        <w:pStyle w:val="WMOIndent1"/>
        <w:tabs>
          <w:tab w:val="clear" w:pos="567"/>
        </w:tabs>
        <w:ind w:left="1134"/>
        <w:rPr>
          <w:shd w:val="clear" w:color="auto" w:fill="FAF9F8"/>
          <w:lang w:val="es-ES"/>
        </w:rPr>
      </w:pPr>
      <w:r w:rsidRPr="0070667D">
        <w:rPr>
          <w:lang w:val="es-ES"/>
        </w:rPr>
        <w:t>f)</w:t>
      </w:r>
      <w:r w:rsidRPr="0070667D">
        <w:rPr>
          <w:lang w:val="es-ES"/>
        </w:rPr>
        <w:tab/>
      </w:r>
      <w:r w:rsidR="0064540C" w:rsidRPr="0070667D">
        <w:rPr>
          <w:lang w:val="es-ES"/>
        </w:rPr>
        <w:t>e</w:t>
      </w:r>
      <w:r w:rsidRPr="0070667D">
        <w:rPr>
          <w:lang w:val="es-ES"/>
        </w:rPr>
        <w:t>specificaciones de licitación en apoyo del Servicio de Financiamiento de Observaciones Sistemáticas (SOFF);</w:t>
      </w:r>
    </w:p>
    <w:p w14:paraId="2307D0A8" w14:textId="4D2F850C" w:rsidR="00E55218" w:rsidRPr="0070667D" w:rsidRDefault="00E55218" w:rsidP="00334DA0">
      <w:pPr>
        <w:pStyle w:val="WMOIndent1"/>
        <w:tabs>
          <w:tab w:val="clear" w:pos="567"/>
        </w:tabs>
        <w:ind w:left="1134"/>
        <w:rPr>
          <w:shd w:val="clear" w:color="auto" w:fill="FAF9F8"/>
          <w:lang w:val="es-ES"/>
        </w:rPr>
      </w:pPr>
      <w:r w:rsidRPr="0070667D">
        <w:rPr>
          <w:lang w:val="es-ES"/>
        </w:rPr>
        <w:t>g)</w:t>
      </w:r>
      <w:r w:rsidRPr="0070667D">
        <w:rPr>
          <w:lang w:val="es-ES"/>
        </w:rPr>
        <w:tab/>
      </w:r>
      <w:r w:rsidR="0064540C" w:rsidRPr="0070667D">
        <w:rPr>
          <w:lang w:val="es-ES"/>
        </w:rPr>
        <w:t>p</w:t>
      </w:r>
      <w:r w:rsidRPr="0070667D">
        <w:rPr>
          <w:lang w:val="es-ES"/>
        </w:rPr>
        <w:t xml:space="preserve">uesta al día de la </w:t>
      </w:r>
      <w:r w:rsidR="00FE2DF4" w:rsidRPr="0070667D">
        <w:rPr>
          <w:i/>
          <w:iCs/>
          <w:lang w:val="es-ES"/>
        </w:rPr>
        <w:t>G</w:t>
      </w:r>
      <w:r w:rsidRPr="0070667D">
        <w:rPr>
          <w:i/>
          <w:iCs/>
          <w:lang w:val="es-ES"/>
        </w:rPr>
        <w:t xml:space="preserve">uía del </w:t>
      </w:r>
      <w:r w:rsidR="00FE2DF4" w:rsidRPr="0070667D">
        <w:rPr>
          <w:i/>
          <w:iCs/>
          <w:lang w:val="es-ES"/>
        </w:rPr>
        <w:t>Sistema Mundial Integrado de Sistemas de Observación de la OMM</w:t>
      </w:r>
      <w:r w:rsidR="00FE2DF4" w:rsidRPr="0070667D">
        <w:rPr>
          <w:lang w:val="es-ES"/>
        </w:rPr>
        <w:t xml:space="preserve"> (OMM-Nº 1165)</w:t>
      </w:r>
      <w:r w:rsidRPr="0070667D">
        <w:rPr>
          <w:lang w:val="es-ES"/>
        </w:rPr>
        <w:t>;</w:t>
      </w:r>
    </w:p>
    <w:p w14:paraId="7DDC8A21" w14:textId="50FBBFDE" w:rsidR="00E55218" w:rsidRPr="0070667D" w:rsidRDefault="00E55218" w:rsidP="00334DA0">
      <w:pPr>
        <w:pStyle w:val="WMOIndent1"/>
        <w:tabs>
          <w:tab w:val="clear" w:pos="567"/>
        </w:tabs>
        <w:ind w:left="1134"/>
        <w:rPr>
          <w:shd w:val="clear" w:color="auto" w:fill="FAF9F8"/>
          <w:lang w:val="es-ES"/>
        </w:rPr>
      </w:pPr>
      <w:r w:rsidRPr="0070667D">
        <w:rPr>
          <w:lang w:val="es-ES"/>
        </w:rPr>
        <w:t>h)</w:t>
      </w:r>
      <w:r w:rsidRPr="0070667D">
        <w:rPr>
          <w:lang w:val="es-ES"/>
        </w:rPr>
        <w:tab/>
      </w:r>
      <w:r w:rsidR="00FE2DF4" w:rsidRPr="0070667D">
        <w:rPr>
          <w:lang w:val="es-ES"/>
        </w:rPr>
        <w:t>p</w:t>
      </w:r>
      <w:r w:rsidRPr="0070667D">
        <w:rPr>
          <w:lang w:val="es-ES"/>
        </w:rPr>
        <w:t xml:space="preserve">rácticas </w:t>
      </w:r>
      <w:r w:rsidR="00C11F41" w:rsidRPr="0070667D">
        <w:rPr>
          <w:lang w:val="es-ES"/>
        </w:rPr>
        <w:t xml:space="preserve">relativas a la presentación de </w:t>
      </w:r>
      <w:r w:rsidRPr="0070667D">
        <w:rPr>
          <w:lang w:val="es-ES"/>
        </w:rPr>
        <w:t>informes para las observaciones horarias de la GBON;</w:t>
      </w:r>
    </w:p>
    <w:p w14:paraId="10AC10AC" w14:textId="4D94C3F9" w:rsidR="00E55218" w:rsidRPr="0070667D" w:rsidRDefault="00E55218" w:rsidP="00334DA0">
      <w:pPr>
        <w:pStyle w:val="WMOIndent1"/>
        <w:tabs>
          <w:tab w:val="clear" w:pos="567"/>
        </w:tabs>
        <w:ind w:left="1134"/>
        <w:rPr>
          <w:shd w:val="clear" w:color="auto" w:fill="FAF9F8"/>
          <w:lang w:val="es-ES"/>
        </w:rPr>
      </w:pPr>
      <w:r w:rsidRPr="0070667D">
        <w:rPr>
          <w:lang w:val="es-ES"/>
        </w:rPr>
        <w:t>i)</w:t>
      </w:r>
      <w:r w:rsidRPr="0070667D">
        <w:rPr>
          <w:lang w:val="es-ES"/>
        </w:rPr>
        <w:tab/>
      </w:r>
      <w:r w:rsidR="007C0E2D" w:rsidRPr="0070667D">
        <w:rPr>
          <w:lang w:val="es-ES"/>
        </w:rPr>
        <w:t>o</w:t>
      </w:r>
      <w:r w:rsidRPr="0070667D">
        <w:rPr>
          <w:lang w:val="es-ES"/>
        </w:rPr>
        <w:t>rientaciones para los asesores entre pares en el marco del SOFF;</w:t>
      </w:r>
    </w:p>
    <w:p w14:paraId="3408538D" w14:textId="3190E698" w:rsidR="00E55218" w:rsidRPr="0070667D" w:rsidRDefault="00E55218" w:rsidP="00334DA0">
      <w:pPr>
        <w:pStyle w:val="WMOIndent1"/>
        <w:tabs>
          <w:tab w:val="clear" w:pos="567"/>
        </w:tabs>
        <w:ind w:left="1134"/>
        <w:rPr>
          <w:shd w:val="clear" w:color="auto" w:fill="FAF9F8"/>
          <w:lang w:val="es-ES"/>
        </w:rPr>
      </w:pPr>
      <w:r w:rsidRPr="0070667D">
        <w:rPr>
          <w:lang w:val="es-ES"/>
        </w:rPr>
        <w:t>j)</w:t>
      </w:r>
      <w:r w:rsidRPr="0070667D">
        <w:rPr>
          <w:lang w:val="es-ES"/>
        </w:rPr>
        <w:tab/>
      </w:r>
      <w:r w:rsidR="001A70A6" w:rsidRPr="0070667D">
        <w:rPr>
          <w:lang w:val="es-ES"/>
        </w:rPr>
        <w:t>e</w:t>
      </w:r>
      <w:r w:rsidRPr="0070667D">
        <w:rPr>
          <w:lang w:val="es-ES"/>
        </w:rPr>
        <w:t xml:space="preserve">stablecimiento de prioridades </w:t>
      </w:r>
      <w:r w:rsidR="00034888" w:rsidRPr="0070667D">
        <w:rPr>
          <w:lang w:val="es-ES"/>
        </w:rPr>
        <w:t>en cuanto a</w:t>
      </w:r>
      <w:r w:rsidRPr="0070667D">
        <w:rPr>
          <w:lang w:val="es-ES"/>
        </w:rPr>
        <w:t xml:space="preserve"> la GBON y el SOFF (fuera de la esfera de actividad del </w:t>
      </w:r>
      <w:r w:rsidR="001A70A6" w:rsidRPr="0070667D">
        <w:rPr>
          <w:lang w:val="es-ES"/>
        </w:rPr>
        <w:t>e</w:t>
      </w:r>
      <w:r w:rsidRPr="0070667D">
        <w:rPr>
          <w:lang w:val="es-ES"/>
        </w:rPr>
        <w:t>quipo especial y gestionadas por la Secretaría del SOFF);</w:t>
      </w:r>
    </w:p>
    <w:p w14:paraId="6FB077EB" w14:textId="57DD249A" w:rsidR="0047720E" w:rsidRPr="0070667D" w:rsidRDefault="00E55218" w:rsidP="00334DA0">
      <w:pPr>
        <w:pStyle w:val="WMOIndent1"/>
        <w:tabs>
          <w:tab w:val="clear" w:pos="567"/>
        </w:tabs>
        <w:spacing w:after="240"/>
        <w:ind w:left="1134"/>
        <w:rPr>
          <w:shd w:val="clear" w:color="auto" w:fill="FAF9F8"/>
          <w:lang w:val="es-ES"/>
        </w:rPr>
      </w:pPr>
      <w:r w:rsidRPr="0070667D">
        <w:rPr>
          <w:lang w:val="es-ES"/>
        </w:rPr>
        <w:t>k)</w:t>
      </w:r>
      <w:r w:rsidRPr="0070667D">
        <w:rPr>
          <w:lang w:val="es-ES"/>
        </w:rPr>
        <w:tab/>
      </w:r>
      <w:r w:rsidR="00D94144" w:rsidRPr="0070667D">
        <w:rPr>
          <w:lang w:val="es-ES"/>
        </w:rPr>
        <w:t xml:space="preserve">disposiciones del </w:t>
      </w:r>
      <w:r w:rsidRPr="0070667D">
        <w:rPr>
          <w:lang w:val="es-ES"/>
        </w:rPr>
        <w:t xml:space="preserve">Reglamento Técnico </w:t>
      </w:r>
      <w:r w:rsidR="00D94144" w:rsidRPr="0070667D">
        <w:rPr>
          <w:lang w:val="es-ES"/>
        </w:rPr>
        <w:t xml:space="preserve">relativas a </w:t>
      </w:r>
      <w:r w:rsidRPr="0070667D">
        <w:rPr>
          <w:lang w:val="es-ES"/>
        </w:rPr>
        <w:t>l</w:t>
      </w:r>
      <w:r w:rsidR="00D94144" w:rsidRPr="0070667D">
        <w:rPr>
          <w:lang w:val="es-ES"/>
        </w:rPr>
        <w:t>a</w:t>
      </w:r>
      <w:r w:rsidRPr="0070667D">
        <w:rPr>
          <w:lang w:val="es-ES"/>
        </w:rPr>
        <w:t xml:space="preserve"> </w:t>
      </w:r>
      <w:r w:rsidR="00D94144" w:rsidRPr="0070667D">
        <w:rPr>
          <w:lang w:val="es-ES"/>
        </w:rPr>
        <w:t xml:space="preserve">versión 2.0 del </w:t>
      </w:r>
      <w:r w:rsidRPr="0070667D">
        <w:rPr>
          <w:lang w:val="es-ES"/>
        </w:rPr>
        <w:t>Sistema de Información de la OMM (WIS</w:t>
      </w:r>
      <w:r w:rsidR="00D94144" w:rsidRPr="0070667D">
        <w:rPr>
          <w:lang w:val="es-ES"/>
        </w:rPr>
        <w:t> </w:t>
      </w:r>
      <w:r w:rsidRPr="0070667D">
        <w:rPr>
          <w:lang w:val="es-ES"/>
        </w:rPr>
        <w:t>2.0</w:t>
      </w:r>
      <w:r w:rsidR="00D94144" w:rsidRPr="0070667D">
        <w:rPr>
          <w:lang w:val="es-ES"/>
        </w:rPr>
        <w:t>)</w:t>
      </w:r>
      <w:r w:rsidRPr="0070667D">
        <w:rPr>
          <w:lang w:val="es-ES"/>
        </w:rPr>
        <w:t>.</w:t>
      </w:r>
    </w:p>
    <w:p w14:paraId="0A919701" w14:textId="5FA0CC74" w:rsidR="00EE25E0" w:rsidRPr="0070667D" w:rsidRDefault="009C1C50" w:rsidP="00D94144">
      <w:pPr>
        <w:pStyle w:val="WMOBodyText"/>
        <w:numPr>
          <w:ilvl w:val="0"/>
          <w:numId w:val="46"/>
        </w:numPr>
        <w:tabs>
          <w:tab w:val="left" w:pos="567"/>
        </w:tabs>
        <w:ind w:left="0" w:hanging="11"/>
        <w:rPr>
          <w:lang w:val="es-ES"/>
        </w:rPr>
      </w:pPr>
      <w:r w:rsidRPr="0070667D">
        <w:rPr>
          <w:lang w:val="es-ES"/>
        </w:rPr>
        <w:t xml:space="preserve">Por consiguiente, se acordó </w:t>
      </w:r>
      <w:r w:rsidR="006B323B" w:rsidRPr="0070667D">
        <w:rPr>
          <w:lang w:val="es-ES"/>
        </w:rPr>
        <w:t xml:space="preserve">y aplicó </w:t>
      </w:r>
      <w:r w:rsidRPr="0070667D">
        <w:rPr>
          <w:lang w:val="es-ES"/>
        </w:rPr>
        <w:t xml:space="preserve">un plan de funcionamiento para el </w:t>
      </w:r>
      <w:r w:rsidR="00E02C3B" w:rsidRPr="0070667D">
        <w:rPr>
          <w:lang w:val="es-ES"/>
        </w:rPr>
        <w:t xml:space="preserve">TT-GBON </w:t>
      </w:r>
      <w:r w:rsidRPr="0070667D">
        <w:rPr>
          <w:lang w:val="es-ES"/>
        </w:rPr>
        <w:t xml:space="preserve">que llevó, entre otras cosas, a que la INFCOM aprobase </w:t>
      </w:r>
      <w:r w:rsidR="00E02C3B" w:rsidRPr="0070667D">
        <w:rPr>
          <w:lang w:val="es-ES"/>
        </w:rPr>
        <w:t xml:space="preserve">en su segunda reunión </w:t>
      </w:r>
      <w:r w:rsidRPr="0070667D">
        <w:rPr>
          <w:lang w:val="es-ES"/>
        </w:rPr>
        <w:t xml:space="preserve">la </w:t>
      </w:r>
      <w:hyperlink r:id="rId14" w:history="1">
        <w:r w:rsidRPr="0070667D">
          <w:rPr>
            <w:rStyle w:val="Hyperlink"/>
            <w:lang w:val="es-ES"/>
          </w:rPr>
          <w:t>Recomendación 7 (INFCOM-2)</w:t>
        </w:r>
      </w:hyperlink>
      <w:r w:rsidRPr="0070667D">
        <w:rPr>
          <w:lang w:val="es-ES"/>
        </w:rPr>
        <w:t xml:space="preserve"> </w:t>
      </w:r>
      <w:r w:rsidR="00A933EB" w:rsidRPr="0070667D">
        <w:rPr>
          <w:lang w:val="es-ES"/>
        </w:rPr>
        <w:t>— C</w:t>
      </w:r>
      <w:r w:rsidRPr="0070667D">
        <w:rPr>
          <w:lang w:val="es-ES"/>
        </w:rPr>
        <w:t xml:space="preserve">omposición inicial de la </w:t>
      </w:r>
      <w:r w:rsidR="00A933EB" w:rsidRPr="0070667D">
        <w:rPr>
          <w:lang w:val="es-ES"/>
        </w:rPr>
        <w:t>Red Mundial Básica de Observaciones (</w:t>
      </w:r>
      <w:r w:rsidRPr="0070667D">
        <w:rPr>
          <w:lang w:val="es-ES"/>
        </w:rPr>
        <w:t>GBON</w:t>
      </w:r>
      <w:r w:rsidR="00A933EB" w:rsidRPr="0070667D">
        <w:rPr>
          <w:lang w:val="es-ES"/>
        </w:rPr>
        <w:t>)</w:t>
      </w:r>
      <w:r w:rsidRPr="0070667D">
        <w:rPr>
          <w:lang w:val="es-ES"/>
        </w:rPr>
        <w:t xml:space="preserve">. Anteriormente, </w:t>
      </w:r>
      <w:r w:rsidR="00C04265" w:rsidRPr="0070667D">
        <w:rPr>
          <w:lang w:val="es-ES"/>
        </w:rPr>
        <w:t xml:space="preserve">se envió a los Miembros </w:t>
      </w:r>
      <w:r w:rsidRPr="0070667D">
        <w:rPr>
          <w:lang w:val="es-ES"/>
        </w:rPr>
        <w:t xml:space="preserve">la carta circular </w:t>
      </w:r>
      <w:r w:rsidR="00C04265" w:rsidRPr="0070667D">
        <w:rPr>
          <w:lang w:val="es-ES"/>
        </w:rPr>
        <w:t xml:space="preserve">de </w:t>
      </w:r>
      <w:r w:rsidRPr="0070667D">
        <w:rPr>
          <w:lang w:val="es-ES"/>
        </w:rPr>
        <w:t>referencia 18876/2022/I/WIGOS/</w:t>
      </w:r>
      <w:r w:rsidR="00852BD4" w:rsidRPr="0070667D">
        <w:rPr>
          <w:lang w:val="es-ES"/>
        </w:rPr>
        <w:br/>
      </w:r>
      <w:r w:rsidRPr="0070667D">
        <w:rPr>
          <w:lang w:val="es-ES"/>
        </w:rPr>
        <w:t xml:space="preserve">ONM/GBON, de fecha 15 de agosto de 2022, </w:t>
      </w:r>
      <w:r w:rsidR="00852BD4" w:rsidRPr="0070667D">
        <w:rPr>
          <w:lang w:val="es-ES"/>
        </w:rPr>
        <w:t xml:space="preserve">para facilitarles </w:t>
      </w:r>
      <w:r w:rsidRPr="0070667D">
        <w:rPr>
          <w:lang w:val="es-ES"/>
        </w:rPr>
        <w:t xml:space="preserve">material de orientación preparado por el </w:t>
      </w:r>
      <w:r w:rsidR="00852BD4" w:rsidRPr="0070667D">
        <w:rPr>
          <w:lang w:val="es-ES"/>
        </w:rPr>
        <w:t xml:space="preserve">TT-GBON </w:t>
      </w:r>
      <w:r w:rsidRPr="0070667D">
        <w:rPr>
          <w:lang w:val="es-ES"/>
        </w:rPr>
        <w:t xml:space="preserve">y se les solicitó que tomaran medidas para la designación de estaciones de la GBON no más tarde del 15 de noviembre de 2022 (este plazo se amplió posteriormente hasta el 31 de enero de 2023). En octubre de 2022 y enero de 2023 se organizaron una serie de seminarios web con los coordinadores nacionales </w:t>
      </w:r>
      <w:r w:rsidR="00C32E6F" w:rsidRPr="0070667D">
        <w:rPr>
          <w:lang w:val="es-ES"/>
        </w:rPr>
        <w:t xml:space="preserve">para </w:t>
      </w:r>
      <w:r w:rsidRPr="0070667D">
        <w:rPr>
          <w:lang w:val="es-ES"/>
        </w:rPr>
        <w:t>el WIGOS y OSCAR/Superficie</w:t>
      </w:r>
      <w:r w:rsidR="00BB57B8" w:rsidRPr="0070667D">
        <w:rPr>
          <w:lang w:val="es-ES"/>
        </w:rPr>
        <w:t>, en los idiomas oficiales de la OMM y en diferentes husos horarios,</w:t>
      </w:r>
      <w:r w:rsidRPr="0070667D">
        <w:rPr>
          <w:lang w:val="es-ES"/>
        </w:rPr>
        <w:t xml:space="preserve"> para ayudar a los Miembros con las tareas </w:t>
      </w:r>
      <w:r w:rsidR="00D20072" w:rsidRPr="0070667D">
        <w:rPr>
          <w:lang w:val="es-ES"/>
        </w:rPr>
        <w:t xml:space="preserve">señaladas </w:t>
      </w:r>
      <w:r w:rsidRPr="0070667D">
        <w:rPr>
          <w:lang w:val="es-ES"/>
        </w:rPr>
        <w:t xml:space="preserve">en la carta circular, proporcionarles orientación adicional y recibir sus </w:t>
      </w:r>
      <w:r w:rsidR="00D20072" w:rsidRPr="0070667D">
        <w:rPr>
          <w:lang w:val="es-ES"/>
        </w:rPr>
        <w:t xml:space="preserve">observaciones </w:t>
      </w:r>
      <w:r w:rsidRPr="0070667D">
        <w:rPr>
          <w:lang w:val="es-ES"/>
        </w:rPr>
        <w:t>al respecto.</w:t>
      </w:r>
    </w:p>
    <w:p w14:paraId="1137E66B" w14:textId="5D5BA953" w:rsidR="00EE25E0" w:rsidRPr="0070667D" w:rsidRDefault="00DC7A31" w:rsidP="00D20072">
      <w:pPr>
        <w:pStyle w:val="WMOBodyText"/>
        <w:numPr>
          <w:ilvl w:val="0"/>
          <w:numId w:val="46"/>
        </w:numPr>
        <w:tabs>
          <w:tab w:val="left" w:pos="567"/>
        </w:tabs>
        <w:ind w:left="0" w:hanging="11"/>
        <w:rPr>
          <w:lang w:val="es-ES"/>
        </w:rPr>
      </w:pPr>
      <w:r w:rsidRPr="0070667D">
        <w:rPr>
          <w:lang w:val="es-ES"/>
        </w:rPr>
        <w:lastRenderedPageBreak/>
        <w:t xml:space="preserve">De conformidad con el proceso propuesto por el </w:t>
      </w:r>
      <w:r w:rsidR="00432B73" w:rsidRPr="0070667D">
        <w:rPr>
          <w:lang w:val="es-ES"/>
        </w:rPr>
        <w:t xml:space="preserve">TT-GBON </w:t>
      </w:r>
      <w:r w:rsidRPr="0070667D">
        <w:rPr>
          <w:lang w:val="es-ES"/>
        </w:rPr>
        <w:t xml:space="preserve">y </w:t>
      </w:r>
      <w:r w:rsidR="00432B73" w:rsidRPr="0070667D">
        <w:rPr>
          <w:lang w:val="es-ES"/>
        </w:rPr>
        <w:t xml:space="preserve">con lo dispuesto en </w:t>
      </w:r>
      <w:r w:rsidRPr="0070667D">
        <w:rPr>
          <w:lang w:val="es-ES"/>
        </w:rPr>
        <w:t xml:space="preserve">la </w:t>
      </w:r>
      <w:hyperlink r:id="rId15" w:history="1">
        <w:r w:rsidRPr="0070667D">
          <w:rPr>
            <w:rStyle w:val="Hyperlink"/>
            <w:lang w:val="es-ES"/>
          </w:rPr>
          <w:t>Recomendación 7 (INFCOM-2)</w:t>
        </w:r>
      </w:hyperlink>
      <w:r w:rsidRPr="0070667D">
        <w:rPr>
          <w:lang w:val="es-ES"/>
        </w:rPr>
        <w:t>, el presidente de la INFCOM</w:t>
      </w:r>
      <w:r w:rsidR="00EE4A1E" w:rsidRPr="0070667D">
        <w:rPr>
          <w:lang w:val="es-ES"/>
        </w:rPr>
        <w:t>, basándose en las propuestas de los Miembros</w:t>
      </w:r>
      <w:r w:rsidR="00C7414C" w:rsidRPr="0070667D">
        <w:rPr>
          <w:lang w:val="es-ES"/>
        </w:rPr>
        <w:t>,</w:t>
      </w:r>
      <w:r w:rsidRPr="0070667D">
        <w:rPr>
          <w:lang w:val="es-ES"/>
        </w:rPr>
        <w:t xml:space="preserve"> recomienda la lista de </w:t>
      </w:r>
      <w:r w:rsidR="00B555F7" w:rsidRPr="0070667D">
        <w:rPr>
          <w:lang w:val="es-ES"/>
        </w:rPr>
        <w:t xml:space="preserve">las </w:t>
      </w:r>
      <w:r w:rsidRPr="0070667D">
        <w:rPr>
          <w:lang w:val="es-ES"/>
        </w:rPr>
        <w:t>estaciones propuestas para componer la GBON inicial</w:t>
      </w:r>
      <w:r w:rsidR="00EE4A1E" w:rsidRPr="0070667D">
        <w:rPr>
          <w:lang w:val="es-ES"/>
        </w:rPr>
        <w:t xml:space="preserve"> a 30 de abril de 2023</w:t>
      </w:r>
      <w:r w:rsidR="00506E17" w:rsidRPr="0070667D">
        <w:rPr>
          <w:lang w:val="es-ES"/>
        </w:rPr>
        <w:t>.</w:t>
      </w:r>
      <w:r w:rsidRPr="0070667D">
        <w:rPr>
          <w:lang w:val="es-ES"/>
        </w:rPr>
        <w:t xml:space="preserve"> La lista se ha publicado a través de la herramienta web elaborada a tal efecto para </w:t>
      </w:r>
      <w:r w:rsidR="00506E17" w:rsidRPr="0070667D">
        <w:rPr>
          <w:lang w:val="es-ES"/>
        </w:rPr>
        <w:t xml:space="preserve">que </w:t>
      </w:r>
      <w:r w:rsidRPr="0070667D">
        <w:rPr>
          <w:lang w:val="es-ES"/>
        </w:rPr>
        <w:t xml:space="preserve">los Miembros </w:t>
      </w:r>
      <w:r w:rsidR="00506E17" w:rsidRPr="0070667D">
        <w:rPr>
          <w:lang w:val="es-ES"/>
        </w:rPr>
        <w:t xml:space="preserve">puedan examinarla </w:t>
      </w:r>
      <w:r w:rsidRPr="0070667D">
        <w:rPr>
          <w:lang w:val="es-ES"/>
        </w:rPr>
        <w:t xml:space="preserve">y </w:t>
      </w:r>
      <w:r w:rsidR="00B56575" w:rsidRPr="0070667D">
        <w:rPr>
          <w:lang w:val="es-ES"/>
        </w:rPr>
        <w:t xml:space="preserve">mediante el </w:t>
      </w:r>
      <w:r w:rsidR="00E223B5" w:rsidRPr="0070667D">
        <w:rPr>
          <w:lang w:val="es-ES"/>
        </w:rPr>
        <w:t xml:space="preserve">presente </w:t>
      </w:r>
      <w:r w:rsidRPr="0070667D">
        <w:rPr>
          <w:lang w:val="es-ES"/>
        </w:rPr>
        <w:t xml:space="preserve">documento </w:t>
      </w:r>
      <w:r w:rsidR="00B56575" w:rsidRPr="0070667D">
        <w:rPr>
          <w:lang w:val="es-ES"/>
        </w:rPr>
        <w:t xml:space="preserve">se somete a la consideración del Congreso para su eventual </w:t>
      </w:r>
      <w:r w:rsidRPr="0070667D">
        <w:rPr>
          <w:lang w:val="es-ES"/>
        </w:rPr>
        <w:t xml:space="preserve">aprobación. La lista también figura en </w:t>
      </w:r>
      <w:r w:rsidR="00E223B5" w:rsidRPr="0070667D">
        <w:rPr>
          <w:lang w:val="es-ES"/>
        </w:rPr>
        <w:t xml:space="preserve">el documento </w:t>
      </w:r>
      <w:hyperlink r:id="rId16" w:history="1">
        <w:r w:rsidRPr="0070667D">
          <w:rPr>
            <w:rStyle w:val="Hyperlink"/>
            <w:lang w:val="es-ES"/>
          </w:rPr>
          <w:t>Cg-19</w:t>
        </w:r>
        <w:r w:rsidR="00344076">
          <w:rPr>
            <w:rStyle w:val="Hyperlink"/>
            <w:lang w:val="en-CH"/>
          </w:rPr>
          <w:t>/</w:t>
        </w:r>
        <w:r w:rsidRPr="0070667D">
          <w:rPr>
            <w:rStyle w:val="Hyperlink"/>
            <w:lang w:val="es-ES"/>
          </w:rPr>
          <w:t>INF</w:t>
        </w:r>
        <w:r w:rsidR="00344076">
          <w:rPr>
            <w:rStyle w:val="Hyperlink"/>
            <w:lang w:val="en-CH"/>
          </w:rPr>
          <w:t>.</w:t>
        </w:r>
        <w:r w:rsidRPr="0070667D">
          <w:rPr>
            <w:rStyle w:val="Hyperlink"/>
            <w:lang w:val="es-ES"/>
          </w:rPr>
          <w:t xml:space="preserve"> 4.2(2)</w:t>
        </w:r>
      </w:hyperlink>
      <w:r w:rsidRPr="0070667D">
        <w:rPr>
          <w:lang w:val="es-ES"/>
        </w:rPr>
        <w:t>.</w:t>
      </w:r>
    </w:p>
    <w:p w14:paraId="7138EC05" w14:textId="77777777" w:rsidR="0047720E" w:rsidRPr="0070667D" w:rsidRDefault="0047720E" w:rsidP="0047720E">
      <w:pPr>
        <w:spacing w:before="480"/>
        <w:jc w:val="center"/>
        <w:rPr>
          <w:lang w:val="es-ES"/>
        </w:rPr>
      </w:pPr>
      <w:r w:rsidRPr="0070667D">
        <w:rPr>
          <w:lang w:val="es-ES"/>
        </w:rPr>
        <w:t>___________</w:t>
      </w:r>
    </w:p>
    <w:p w14:paraId="2FC37B92" w14:textId="77777777" w:rsidR="0047720E" w:rsidRPr="0070667D" w:rsidRDefault="0047720E">
      <w:pPr>
        <w:tabs>
          <w:tab w:val="clear" w:pos="1134"/>
        </w:tabs>
        <w:jc w:val="left"/>
        <w:rPr>
          <w:lang w:val="es-ES"/>
        </w:rPr>
      </w:pPr>
      <w:r w:rsidRPr="0070667D">
        <w:rPr>
          <w:lang w:val="es-ES"/>
        </w:rPr>
        <w:br w:type="page"/>
      </w:r>
    </w:p>
    <w:p w14:paraId="79685E56" w14:textId="53D344B1" w:rsidR="00814CC6" w:rsidRPr="0070667D" w:rsidRDefault="001527A3" w:rsidP="001D3CFB">
      <w:pPr>
        <w:pStyle w:val="Heading1"/>
        <w:rPr>
          <w:lang w:val="es-ES"/>
        </w:rPr>
      </w:pPr>
      <w:r w:rsidRPr="0070667D">
        <w:rPr>
          <w:lang w:val="es-ES"/>
        </w:rPr>
        <w:lastRenderedPageBreak/>
        <w:t>PROYECTO DE RESOLUCIÓN</w:t>
      </w:r>
    </w:p>
    <w:p w14:paraId="33F80254" w14:textId="3635760A" w:rsidR="00814CC6" w:rsidRPr="0070667D" w:rsidRDefault="001527A3" w:rsidP="001527A3">
      <w:pPr>
        <w:pStyle w:val="Heading2"/>
        <w:rPr>
          <w:lang w:val="es-ES"/>
        </w:rPr>
      </w:pPr>
      <w:r w:rsidRPr="0070667D">
        <w:rPr>
          <w:lang w:val="es-ES"/>
        </w:rPr>
        <w:t xml:space="preserve">Proyecto de Resolución </w:t>
      </w:r>
      <w:r w:rsidR="000C6876" w:rsidRPr="0070667D">
        <w:rPr>
          <w:lang w:val="es-ES"/>
        </w:rPr>
        <w:t>4.2(2)/1 (Cg-19)</w:t>
      </w:r>
    </w:p>
    <w:p w14:paraId="4C7E185F" w14:textId="1A943555" w:rsidR="00814CC6" w:rsidRPr="0070667D" w:rsidRDefault="00E916AC" w:rsidP="00E916AC">
      <w:pPr>
        <w:pStyle w:val="Heading2"/>
        <w:rPr>
          <w:lang w:val="es-ES"/>
        </w:rPr>
      </w:pPr>
      <w:r w:rsidRPr="0070667D">
        <w:rPr>
          <w:lang w:val="es-ES"/>
        </w:rPr>
        <w:t>Composición inicial de la Red Mundial Básica de Observaciones</w:t>
      </w:r>
    </w:p>
    <w:p w14:paraId="1C79D5C5" w14:textId="77777777" w:rsidR="002204FD" w:rsidRPr="0070667D" w:rsidRDefault="001E6FA8" w:rsidP="003245D3">
      <w:pPr>
        <w:pStyle w:val="WMOBodyText"/>
        <w:rPr>
          <w:lang w:val="es-ES"/>
        </w:rPr>
      </w:pPr>
      <w:r w:rsidRPr="0070667D">
        <w:rPr>
          <w:lang w:val="es-ES"/>
        </w:rPr>
        <w:t>El CONGRESO METEOROLÓGICO MUNDIAL</w:t>
      </w:r>
      <w:r w:rsidR="001527A3" w:rsidRPr="0070667D">
        <w:rPr>
          <w:lang w:val="es-ES"/>
        </w:rPr>
        <w:t>,</w:t>
      </w:r>
    </w:p>
    <w:p w14:paraId="090AB791" w14:textId="0EB03F26" w:rsidR="001527A3" w:rsidRPr="0070667D" w:rsidRDefault="001527A3" w:rsidP="001527A3">
      <w:pPr>
        <w:pStyle w:val="WMOBodyText"/>
        <w:rPr>
          <w:bCs/>
          <w:lang w:val="es-ES"/>
        </w:rPr>
      </w:pPr>
      <w:r w:rsidRPr="0070667D">
        <w:rPr>
          <w:b/>
          <w:lang w:val="es-ES"/>
        </w:rPr>
        <w:t>Recordando</w:t>
      </w:r>
      <w:r w:rsidR="00414811" w:rsidRPr="0070667D">
        <w:rPr>
          <w:bCs/>
          <w:lang w:val="es-ES"/>
        </w:rPr>
        <w:t>:</w:t>
      </w:r>
    </w:p>
    <w:p w14:paraId="49A4B4C2" w14:textId="17B1EEB1" w:rsidR="00FB4D38" w:rsidRPr="0070667D" w:rsidRDefault="00FB4D38" w:rsidP="00FB4D38">
      <w:pPr>
        <w:pStyle w:val="WMOBodyText"/>
        <w:ind w:left="567" w:hanging="567"/>
        <w:rPr>
          <w:lang w:val="es-ES"/>
        </w:rPr>
      </w:pPr>
      <w:r w:rsidRPr="0070667D">
        <w:rPr>
          <w:lang w:val="es-ES"/>
        </w:rPr>
        <w:t>1)</w:t>
      </w:r>
      <w:r w:rsidRPr="0070667D">
        <w:rPr>
          <w:lang w:val="es-ES"/>
        </w:rPr>
        <w:tab/>
        <w:t xml:space="preserve">la </w:t>
      </w:r>
      <w:hyperlink r:id="rId17" w:anchor="page=37" w:history="1">
        <w:r w:rsidRPr="0070667D">
          <w:rPr>
            <w:rStyle w:val="Hyperlink"/>
            <w:lang w:val="es-ES"/>
          </w:rPr>
          <w:t>Resolución 9 (EC-73)</w:t>
        </w:r>
      </w:hyperlink>
      <w:r w:rsidRPr="0070667D">
        <w:rPr>
          <w:lang w:val="es-ES"/>
        </w:rPr>
        <w:t xml:space="preserve"> — Plan para la Fase Operativa Inicial del Sistema Mundial Integrado de Sistemas de Observación de la OMM (2020-2023),</w:t>
      </w:r>
    </w:p>
    <w:p w14:paraId="3AC24382" w14:textId="007FB7B1" w:rsidR="00FB4D38" w:rsidRPr="0070667D" w:rsidRDefault="00FB4D38" w:rsidP="00FB4D38">
      <w:pPr>
        <w:pStyle w:val="WMOBodyText"/>
        <w:ind w:left="567" w:hanging="567"/>
        <w:rPr>
          <w:lang w:val="es-ES"/>
        </w:rPr>
      </w:pPr>
      <w:r w:rsidRPr="0070667D">
        <w:rPr>
          <w:lang w:val="es-ES"/>
        </w:rPr>
        <w:t>2)</w:t>
      </w:r>
      <w:r w:rsidRPr="0070667D">
        <w:rPr>
          <w:lang w:val="es-ES"/>
        </w:rPr>
        <w:tab/>
        <w:t xml:space="preserve">la </w:t>
      </w:r>
      <w:hyperlink r:id="rId18" w:anchor="page=33" w:history="1">
        <w:r w:rsidRPr="0070667D">
          <w:rPr>
            <w:rStyle w:val="Hyperlink"/>
            <w:lang w:val="es-ES"/>
          </w:rPr>
          <w:t>Resolución 2 (Cg-Ext(2021))</w:t>
        </w:r>
      </w:hyperlink>
      <w:r w:rsidRPr="0070667D">
        <w:rPr>
          <w:lang w:val="es-ES"/>
        </w:rPr>
        <w:t xml:space="preserve"> — Enmiendas al Reglamento Técnico relativas al establecimiento de la Red Mundial Básica de Observaciones,</w:t>
      </w:r>
    </w:p>
    <w:p w14:paraId="31F794DC" w14:textId="4BF5A757" w:rsidR="00E67E51" w:rsidRPr="0070667D" w:rsidRDefault="00397D40" w:rsidP="00E67E51">
      <w:pPr>
        <w:pStyle w:val="WMOBodyText"/>
        <w:rPr>
          <w:rFonts w:ascii="Verdana,Bold" w:eastAsia="MS Mincho" w:hAnsi="Verdana,Bold" w:cs="Verdana,Bold"/>
          <w:lang w:val="es-ES"/>
        </w:rPr>
      </w:pPr>
      <w:bookmarkStart w:id="1" w:name="_Hlk108188959"/>
      <w:r w:rsidRPr="0070667D">
        <w:rPr>
          <w:b/>
          <w:bCs/>
          <w:lang w:val="es-ES"/>
        </w:rPr>
        <w:t xml:space="preserve">Notando </w:t>
      </w:r>
      <w:r w:rsidR="00E67E51" w:rsidRPr="0070667D">
        <w:rPr>
          <w:lang w:val="es-ES"/>
        </w:rPr>
        <w:t xml:space="preserve">la </w:t>
      </w:r>
      <w:hyperlink r:id="rId19" w:history="1">
        <w:r w:rsidR="00E67E51" w:rsidRPr="0070667D">
          <w:rPr>
            <w:rStyle w:val="Hyperlink"/>
            <w:lang w:val="es-ES"/>
          </w:rPr>
          <w:t>Resolución 18 (EC-76)</w:t>
        </w:r>
      </w:hyperlink>
      <w:r w:rsidR="00E67E51" w:rsidRPr="0070667D">
        <w:rPr>
          <w:lang w:val="es-ES"/>
        </w:rPr>
        <w:t xml:space="preserve"> — Enmiendas al </w:t>
      </w:r>
      <w:r w:rsidR="00E67E51" w:rsidRPr="0070667D">
        <w:rPr>
          <w:i/>
          <w:iCs/>
          <w:lang w:val="es-ES"/>
        </w:rPr>
        <w:t>Manual del Sistema Mundial Integrado de Sistemas de Observación de la OMM</w:t>
      </w:r>
      <w:r w:rsidR="00E67E51" w:rsidRPr="0070667D">
        <w:rPr>
          <w:lang w:val="es-ES"/>
        </w:rPr>
        <w:t xml:space="preserve"> (OMM-Nº 1160), </w:t>
      </w:r>
      <w:r w:rsidRPr="0070667D">
        <w:rPr>
          <w:lang w:val="es-ES"/>
        </w:rPr>
        <w:t xml:space="preserve">y en particular </w:t>
      </w:r>
      <w:r w:rsidR="00E67E51" w:rsidRPr="0070667D">
        <w:rPr>
          <w:lang w:val="es-ES"/>
        </w:rPr>
        <w:t>el apéndice 3.1 del anexo,</w:t>
      </w:r>
      <w:bookmarkEnd w:id="1"/>
    </w:p>
    <w:p w14:paraId="021684FB" w14:textId="5078803F" w:rsidR="00E67E51" w:rsidRPr="0070667D" w:rsidRDefault="00E67E51" w:rsidP="00E67E51">
      <w:pPr>
        <w:pStyle w:val="WMOBodyText"/>
        <w:rPr>
          <w:b/>
          <w:bCs/>
          <w:lang w:val="es-ES"/>
        </w:rPr>
      </w:pPr>
      <w:r w:rsidRPr="0070667D">
        <w:rPr>
          <w:b/>
          <w:bCs/>
          <w:lang w:val="es-ES"/>
        </w:rPr>
        <w:t xml:space="preserve">Habiendo </w:t>
      </w:r>
      <w:r w:rsidR="00E771C9" w:rsidRPr="0070667D">
        <w:rPr>
          <w:b/>
          <w:bCs/>
          <w:lang w:val="es-ES"/>
        </w:rPr>
        <w:t>examinado</w:t>
      </w:r>
      <w:r w:rsidRPr="0070667D">
        <w:rPr>
          <w:lang w:val="es-ES"/>
        </w:rPr>
        <w:t>:</w:t>
      </w:r>
    </w:p>
    <w:p w14:paraId="34F8487B" w14:textId="43FED72F" w:rsidR="00E67E51" w:rsidRPr="0070667D" w:rsidRDefault="00E67E51" w:rsidP="00E67E51">
      <w:pPr>
        <w:tabs>
          <w:tab w:val="clear" w:pos="1134"/>
        </w:tabs>
        <w:autoSpaceDE w:val="0"/>
        <w:autoSpaceDN w:val="0"/>
        <w:adjustRightInd w:val="0"/>
        <w:spacing w:before="240"/>
        <w:ind w:left="567" w:hanging="567"/>
        <w:jc w:val="left"/>
        <w:rPr>
          <w:rFonts w:eastAsia="MS Mincho" w:cs="Verdana"/>
          <w:lang w:val="es-ES"/>
        </w:rPr>
      </w:pPr>
      <w:r w:rsidRPr="0070667D">
        <w:rPr>
          <w:lang w:val="es-ES"/>
        </w:rPr>
        <w:t>1)</w:t>
      </w:r>
      <w:r w:rsidRPr="0070667D">
        <w:rPr>
          <w:lang w:val="es-ES"/>
        </w:rPr>
        <w:tab/>
        <w:t xml:space="preserve">la </w:t>
      </w:r>
      <w:hyperlink r:id="rId20" w:history="1">
        <w:r w:rsidRPr="0070667D">
          <w:rPr>
            <w:rStyle w:val="Hyperlink"/>
            <w:lang w:val="es-ES"/>
          </w:rPr>
          <w:t>Recomendación 7 (INFCOM-2)</w:t>
        </w:r>
      </w:hyperlink>
      <w:r w:rsidRPr="0070667D">
        <w:rPr>
          <w:lang w:val="es-ES"/>
        </w:rPr>
        <w:t xml:space="preserve"> — Composición inicial de la </w:t>
      </w:r>
      <w:r w:rsidR="00E771C9" w:rsidRPr="0070667D">
        <w:rPr>
          <w:lang w:val="es-ES"/>
        </w:rPr>
        <w:t>Red Mundial Básica de Observaciones (</w:t>
      </w:r>
      <w:r w:rsidRPr="0070667D">
        <w:rPr>
          <w:lang w:val="es-ES"/>
        </w:rPr>
        <w:t>GBON</w:t>
      </w:r>
      <w:r w:rsidR="00E771C9" w:rsidRPr="0070667D">
        <w:rPr>
          <w:lang w:val="es-ES"/>
        </w:rPr>
        <w:t>)</w:t>
      </w:r>
      <w:r w:rsidRPr="0070667D">
        <w:rPr>
          <w:lang w:val="es-ES"/>
        </w:rPr>
        <w:t>, y la recomendación del presidente de la Comisión de Observaciones, Infraestructura y Sistemas de Información (INFCOM), basada en las propuestas de los Miembros, re</w:t>
      </w:r>
      <w:r w:rsidR="00735672" w:rsidRPr="0070667D">
        <w:rPr>
          <w:lang w:val="es-ES"/>
        </w:rPr>
        <w:t xml:space="preserve">lativa </w:t>
      </w:r>
      <w:r w:rsidRPr="0070667D">
        <w:rPr>
          <w:lang w:val="es-ES"/>
        </w:rPr>
        <w:t xml:space="preserve">a la lista de </w:t>
      </w:r>
      <w:r w:rsidR="003024B1" w:rsidRPr="0070667D">
        <w:rPr>
          <w:lang w:val="es-ES"/>
        </w:rPr>
        <w:t xml:space="preserve">las </w:t>
      </w:r>
      <w:r w:rsidRPr="0070667D">
        <w:rPr>
          <w:lang w:val="es-ES"/>
        </w:rPr>
        <w:t>estaciones que compondrán la GBON inicial,</w:t>
      </w:r>
    </w:p>
    <w:p w14:paraId="34017279" w14:textId="66005985" w:rsidR="00E67E51" w:rsidRPr="0070667D" w:rsidRDefault="00E67E51" w:rsidP="00E67E51">
      <w:pPr>
        <w:tabs>
          <w:tab w:val="clear" w:pos="1134"/>
        </w:tabs>
        <w:autoSpaceDE w:val="0"/>
        <w:autoSpaceDN w:val="0"/>
        <w:adjustRightInd w:val="0"/>
        <w:spacing w:before="240"/>
        <w:ind w:left="567" w:hanging="567"/>
        <w:jc w:val="left"/>
        <w:rPr>
          <w:rFonts w:eastAsia="MS Mincho" w:cs="Verdana"/>
          <w:lang w:val="es-ES"/>
        </w:rPr>
      </w:pPr>
      <w:r w:rsidRPr="0070667D">
        <w:rPr>
          <w:lang w:val="es-ES"/>
        </w:rPr>
        <w:t>2)</w:t>
      </w:r>
      <w:r w:rsidRPr="0070667D">
        <w:rPr>
          <w:lang w:val="es-ES"/>
        </w:rPr>
        <w:tab/>
        <w:t xml:space="preserve">el </w:t>
      </w:r>
      <w:hyperlink r:id="rId21" w:history="1">
        <w:r w:rsidRPr="0070667D">
          <w:rPr>
            <w:rStyle w:val="Hyperlink"/>
            <w:i/>
            <w:iCs/>
            <w:lang w:val="es-ES"/>
          </w:rPr>
          <w:t>Manual del Sistema Mundial Integrado de Sistemas de Observación de la OMM</w:t>
        </w:r>
      </w:hyperlink>
      <w:r w:rsidRPr="0070667D">
        <w:rPr>
          <w:lang w:val="es-ES"/>
        </w:rPr>
        <w:t xml:space="preserve"> (OMM</w:t>
      </w:r>
      <w:r w:rsidR="00A777B6" w:rsidRPr="0070667D">
        <w:rPr>
          <w:lang w:val="es-ES"/>
        </w:rPr>
        <w:noBreakHyphen/>
      </w:r>
      <w:r w:rsidRPr="0070667D">
        <w:rPr>
          <w:lang w:val="es-ES"/>
        </w:rPr>
        <w:t xml:space="preserve">Nº 1160), apéndice 3.1, </w:t>
      </w:r>
      <w:r w:rsidR="00A777B6" w:rsidRPr="0070667D">
        <w:rPr>
          <w:lang w:val="es-ES"/>
        </w:rPr>
        <w:t xml:space="preserve">que figura </w:t>
      </w:r>
      <w:r w:rsidRPr="0070667D">
        <w:rPr>
          <w:lang w:val="es-ES"/>
        </w:rPr>
        <w:t xml:space="preserve">en el </w:t>
      </w:r>
      <w:hyperlink w:anchor="AnexoResolución" w:history="1">
        <w:r w:rsidR="008416DF" w:rsidRPr="0070667D">
          <w:rPr>
            <w:rStyle w:val="Hyperlink"/>
            <w:rFonts w:eastAsia="Verdana" w:cs="Verdana"/>
            <w:lang w:val="es-ES" w:eastAsia="zh-TW"/>
          </w:rPr>
          <w:t>anexo 1</w:t>
        </w:r>
      </w:hyperlink>
      <w:r w:rsidR="007448A0" w:rsidRPr="0070667D">
        <w:rPr>
          <w:lang w:val="es-ES"/>
        </w:rPr>
        <w:t xml:space="preserve"> </w:t>
      </w:r>
      <w:r w:rsidRPr="0070667D">
        <w:rPr>
          <w:lang w:val="es-ES"/>
        </w:rPr>
        <w:t xml:space="preserve">a la presente </w:t>
      </w:r>
      <w:r w:rsidR="00A777B6" w:rsidRPr="0070667D">
        <w:rPr>
          <w:lang w:val="es-ES"/>
        </w:rPr>
        <w:t>r</w:t>
      </w:r>
      <w:r w:rsidRPr="0070667D">
        <w:rPr>
          <w:lang w:val="es-ES"/>
        </w:rPr>
        <w:t>esolución para facilitar su consulta,</w:t>
      </w:r>
    </w:p>
    <w:p w14:paraId="369169FE" w14:textId="525179B5" w:rsidR="00E67E51" w:rsidRPr="0070667D" w:rsidRDefault="00E67E51" w:rsidP="00E67E51">
      <w:pPr>
        <w:tabs>
          <w:tab w:val="clear" w:pos="1134"/>
        </w:tabs>
        <w:autoSpaceDE w:val="0"/>
        <w:autoSpaceDN w:val="0"/>
        <w:adjustRightInd w:val="0"/>
        <w:spacing w:before="240"/>
        <w:jc w:val="left"/>
        <w:rPr>
          <w:lang w:val="es-ES"/>
        </w:rPr>
      </w:pPr>
      <w:r w:rsidRPr="0070667D">
        <w:rPr>
          <w:b/>
          <w:bCs/>
          <w:lang w:val="es-ES"/>
        </w:rPr>
        <w:t>Aprueba</w:t>
      </w:r>
      <w:r w:rsidRPr="0070667D">
        <w:rPr>
          <w:lang w:val="es-ES"/>
        </w:rPr>
        <w:t xml:space="preserve"> la composición inicial de la GBON que</w:t>
      </w:r>
      <w:r w:rsidR="005D786A" w:rsidRPr="0070667D">
        <w:rPr>
          <w:lang w:val="es-ES"/>
        </w:rPr>
        <w:t xml:space="preserve"> figura </w:t>
      </w:r>
      <w:r w:rsidRPr="0070667D">
        <w:rPr>
          <w:lang w:val="es-ES"/>
        </w:rPr>
        <w:t xml:space="preserve">en la </w:t>
      </w:r>
      <w:hyperlink r:id="rId22" w:history="1">
        <w:r w:rsidRPr="0070667D">
          <w:rPr>
            <w:rStyle w:val="Hyperlink"/>
            <w:lang w:val="es-ES"/>
          </w:rPr>
          <w:t>herramienta web de la OMM</w:t>
        </w:r>
      </w:hyperlink>
      <w:r w:rsidRPr="0070667D">
        <w:rPr>
          <w:lang w:val="es-ES"/>
        </w:rPr>
        <w:t xml:space="preserve"> </w:t>
      </w:r>
      <w:r w:rsidR="00107759" w:rsidRPr="0070667D">
        <w:rPr>
          <w:lang w:val="es-ES"/>
        </w:rPr>
        <w:t xml:space="preserve">a 30 de abril de 2023 </w:t>
      </w:r>
      <w:r w:rsidRPr="0070667D">
        <w:rPr>
          <w:lang w:val="es-ES"/>
        </w:rPr>
        <w:t xml:space="preserve">[la lista también figura en </w:t>
      </w:r>
      <w:r w:rsidR="005A5F04" w:rsidRPr="0070667D">
        <w:rPr>
          <w:lang w:val="es-ES"/>
        </w:rPr>
        <w:t xml:space="preserve">el documento </w:t>
      </w:r>
      <w:hyperlink r:id="rId23" w:history="1">
        <w:r w:rsidRPr="0070667D">
          <w:rPr>
            <w:rStyle w:val="Hyperlink"/>
            <w:lang w:val="es-ES"/>
          </w:rPr>
          <w:t>Cg-19/INF. 4.2(2)</w:t>
        </w:r>
      </w:hyperlink>
      <w:r w:rsidRPr="0070667D">
        <w:rPr>
          <w:lang w:val="es-ES"/>
        </w:rPr>
        <w:t xml:space="preserve"> para facilitar su consulta]</w:t>
      </w:r>
      <w:r w:rsidR="005A5F04" w:rsidRPr="0070667D">
        <w:rPr>
          <w:lang w:val="es-ES"/>
        </w:rPr>
        <w:t>,</w:t>
      </w:r>
      <w:r w:rsidRPr="0070667D">
        <w:rPr>
          <w:lang w:val="es-ES"/>
        </w:rPr>
        <w:t xml:space="preserve"> con los cambios que figuran en el </w:t>
      </w:r>
      <w:hyperlink w:anchor="AnexoRecomendación" w:history="1">
        <w:r w:rsidR="00595789" w:rsidRPr="0070667D">
          <w:rPr>
            <w:rStyle w:val="Hyperlink"/>
            <w:lang w:val="es-ES"/>
          </w:rPr>
          <w:t>anexo 2</w:t>
        </w:r>
      </w:hyperlink>
      <w:r w:rsidRPr="0070667D">
        <w:rPr>
          <w:lang w:val="es-ES"/>
        </w:rPr>
        <w:t xml:space="preserve"> a la presente </w:t>
      </w:r>
      <w:r w:rsidR="005A5F04" w:rsidRPr="0070667D">
        <w:rPr>
          <w:lang w:val="es-ES"/>
        </w:rPr>
        <w:t>r</w:t>
      </w:r>
      <w:r w:rsidRPr="0070667D">
        <w:rPr>
          <w:lang w:val="es-ES"/>
        </w:rPr>
        <w:t>esolución;</w:t>
      </w:r>
    </w:p>
    <w:p w14:paraId="039C0D8B" w14:textId="7068D79D" w:rsidR="00E67E51" w:rsidRPr="0070667D" w:rsidRDefault="00E67E51" w:rsidP="00E67E51">
      <w:pPr>
        <w:pStyle w:val="WMOBodyText"/>
        <w:ind w:right="-170"/>
        <w:rPr>
          <w:lang w:val="es-ES"/>
        </w:rPr>
      </w:pPr>
      <w:r w:rsidRPr="0070667D">
        <w:rPr>
          <w:b/>
          <w:bCs/>
          <w:lang w:val="es-ES"/>
        </w:rPr>
        <w:t xml:space="preserve">Autoriza </w:t>
      </w:r>
      <w:r w:rsidRPr="0070667D">
        <w:rPr>
          <w:lang w:val="es-ES"/>
        </w:rPr>
        <w:t xml:space="preserve">a la INFCOM a tomar decisiones subsiguientes </w:t>
      </w:r>
      <w:r w:rsidR="00672BDD" w:rsidRPr="0070667D">
        <w:rPr>
          <w:lang w:val="es-ES"/>
        </w:rPr>
        <w:t xml:space="preserve">para </w:t>
      </w:r>
      <w:r w:rsidRPr="0070667D">
        <w:rPr>
          <w:lang w:val="es-ES"/>
        </w:rPr>
        <w:t>manten</w:t>
      </w:r>
      <w:r w:rsidR="00672BDD" w:rsidRPr="0070667D">
        <w:rPr>
          <w:lang w:val="es-ES"/>
        </w:rPr>
        <w:t xml:space="preserve">er </w:t>
      </w:r>
      <w:r w:rsidRPr="0070667D">
        <w:rPr>
          <w:lang w:val="es-ES"/>
        </w:rPr>
        <w:t xml:space="preserve">la composición de la GBON, de conformidad con </w:t>
      </w:r>
      <w:r w:rsidR="00C55078" w:rsidRPr="0070667D">
        <w:rPr>
          <w:lang w:val="es-ES"/>
        </w:rPr>
        <w:t xml:space="preserve">lo dispuesto en la </w:t>
      </w:r>
      <w:hyperlink r:id="rId24" w:history="1">
        <w:r w:rsidR="00C55078" w:rsidRPr="0070667D">
          <w:rPr>
            <w:rStyle w:val="Hyperlink"/>
            <w:lang w:val="es-ES"/>
          </w:rPr>
          <w:t>sección 3.2.2</w:t>
        </w:r>
      </w:hyperlink>
      <w:r w:rsidR="00C55078" w:rsidRPr="0070667D">
        <w:rPr>
          <w:lang w:val="es-ES"/>
        </w:rPr>
        <w:t xml:space="preserve"> y el </w:t>
      </w:r>
      <w:hyperlink r:id="rId25" w:history="1">
        <w:r w:rsidR="00C55078" w:rsidRPr="0070667D">
          <w:rPr>
            <w:rStyle w:val="Hyperlink"/>
            <w:lang w:val="es-ES"/>
          </w:rPr>
          <w:t>apéndice 3.1</w:t>
        </w:r>
      </w:hyperlink>
      <w:r w:rsidR="00C55078" w:rsidRPr="0070667D">
        <w:rPr>
          <w:lang w:val="es-ES"/>
        </w:rPr>
        <w:t xml:space="preserve"> de</w:t>
      </w:r>
      <w:r w:rsidRPr="0070667D">
        <w:rPr>
          <w:lang w:val="es-ES"/>
        </w:rPr>
        <w:t xml:space="preserve">l </w:t>
      </w:r>
      <w:r w:rsidRPr="0070667D">
        <w:rPr>
          <w:i/>
          <w:iCs/>
          <w:lang w:val="es-ES"/>
        </w:rPr>
        <w:t xml:space="preserve">Manual del Sistema Mundial Integrado de Sistemas de Observación de la OMM </w:t>
      </w:r>
      <w:r w:rsidRPr="0070667D">
        <w:rPr>
          <w:lang w:val="es-ES"/>
        </w:rPr>
        <w:t>(OMM-Nº 1160);</w:t>
      </w:r>
    </w:p>
    <w:p w14:paraId="14C03FED" w14:textId="08DC9CF2" w:rsidR="00E67E51" w:rsidRPr="0070667D" w:rsidRDefault="00E67E51" w:rsidP="00E67E51">
      <w:pPr>
        <w:pStyle w:val="WMOBodyText"/>
        <w:rPr>
          <w:rFonts w:ascii="Verdana,Bold" w:eastAsia="MS Mincho" w:hAnsi="Verdana,Bold" w:cs="Verdana,Bold"/>
          <w:b/>
          <w:bCs/>
          <w:color w:val="000000"/>
          <w:lang w:val="es-ES"/>
        </w:rPr>
      </w:pPr>
      <w:r w:rsidRPr="0070667D">
        <w:rPr>
          <w:b/>
          <w:bCs/>
          <w:lang w:val="es-ES"/>
        </w:rPr>
        <w:t xml:space="preserve">Autoriza </w:t>
      </w:r>
      <w:r w:rsidRPr="0070667D">
        <w:rPr>
          <w:lang w:val="es-ES"/>
        </w:rPr>
        <w:t>al presidente de la INFCOM a introducir modificaci</w:t>
      </w:r>
      <w:r w:rsidR="00892799" w:rsidRPr="0070667D">
        <w:rPr>
          <w:lang w:val="es-ES"/>
        </w:rPr>
        <w:t>o</w:t>
      </w:r>
      <w:r w:rsidRPr="0070667D">
        <w:rPr>
          <w:lang w:val="es-ES"/>
        </w:rPr>
        <w:t>n</w:t>
      </w:r>
      <w:r w:rsidR="00892799" w:rsidRPr="0070667D">
        <w:rPr>
          <w:lang w:val="es-ES"/>
        </w:rPr>
        <w:t>es</w:t>
      </w:r>
      <w:r w:rsidRPr="0070667D">
        <w:rPr>
          <w:lang w:val="es-ES"/>
        </w:rPr>
        <w:t xml:space="preserve"> menor</w:t>
      </w:r>
      <w:r w:rsidR="009B4FED" w:rsidRPr="0070667D">
        <w:rPr>
          <w:lang w:val="es-ES"/>
        </w:rPr>
        <w:t>es</w:t>
      </w:r>
      <w:r w:rsidRPr="0070667D">
        <w:rPr>
          <w:lang w:val="es-ES"/>
        </w:rPr>
        <w:t xml:space="preserve"> subsiguiente</w:t>
      </w:r>
      <w:r w:rsidR="009B4FED" w:rsidRPr="0070667D">
        <w:rPr>
          <w:lang w:val="es-ES"/>
        </w:rPr>
        <w:t>s</w:t>
      </w:r>
      <w:r w:rsidRPr="0070667D">
        <w:rPr>
          <w:lang w:val="es-ES"/>
        </w:rPr>
        <w:t xml:space="preserve"> en la lista de </w:t>
      </w:r>
      <w:r w:rsidR="003024B1" w:rsidRPr="0070667D">
        <w:rPr>
          <w:lang w:val="es-ES"/>
        </w:rPr>
        <w:t xml:space="preserve">las </w:t>
      </w:r>
      <w:r w:rsidRPr="0070667D">
        <w:rPr>
          <w:lang w:val="es-ES"/>
        </w:rPr>
        <w:t>estaciones de la GBON, en consulta con los Miembros interesados;</w:t>
      </w:r>
    </w:p>
    <w:p w14:paraId="2E6123F1" w14:textId="77777777" w:rsidR="00E67E51" w:rsidRPr="0070667D" w:rsidRDefault="00E67E51" w:rsidP="00E67E51">
      <w:pPr>
        <w:tabs>
          <w:tab w:val="clear" w:pos="1134"/>
        </w:tabs>
        <w:autoSpaceDE w:val="0"/>
        <w:autoSpaceDN w:val="0"/>
        <w:adjustRightInd w:val="0"/>
        <w:spacing w:before="240"/>
        <w:jc w:val="left"/>
        <w:rPr>
          <w:rFonts w:eastAsia="MS Mincho" w:cs="Verdana"/>
          <w:lang w:val="es-ES"/>
        </w:rPr>
      </w:pPr>
      <w:r w:rsidRPr="0070667D">
        <w:rPr>
          <w:b/>
          <w:bCs/>
          <w:lang w:val="es-ES"/>
        </w:rPr>
        <w:t xml:space="preserve">Solicita </w:t>
      </w:r>
      <w:r w:rsidRPr="0070667D">
        <w:rPr>
          <w:lang w:val="es-ES"/>
        </w:rPr>
        <w:t>al Secretario General:</w:t>
      </w:r>
    </w:p>
    <w:p w14:paraId="5FAC9AE8" w14:textId="77777777" w:rsidR="00E67E51" w:rsidRPr="0070667D" w:rsidRDefault="00E67E51" w:rsidP="00E67E51">
      <w:pPr>
        <w:tabs>
          <w:tab w:val="clear" w:pos="1134"/>
        </w:tabs>
        <w:autoSpaceDE w:val="0"/>
        <w:autoSpaceDN w:val="0"/>
        <w:adjustRightInd w:val="0"/>
        <w:spacing w:before="240"/>
        <w:ind w:left="567" w:hanging="567"/>
        <w:jc w:val="left"/>
        <w:rPr>
          <w:rFonts w:eastAsia="MS Mincho" w:cs="Verdana"/>
          <w:lang w:val="es-ES"/>
        </w:rPr>
      </w:pPr>
      <w:r w:rsidRPr="0070667D">
        <w:rPr>
          <w:lang w:val="es-ES"/>
        </w:rPr>
        <w:t>1)</w:t>
      </w:r>
      <w:r w:rsidRPr="0070667D">
        <w:rPr>
          <w:lang w:val="es-ES"/>
        </w:rPr>
        <w:tab/>
        <w:t>que publique la composición inicial de la GBON en la Herramienta de Análisis y Examen de la Capacidad de los Sistemas de Observación en Superficie (OSCAR/Superficie);</w:t>
      </w:r>
    </w:p>
    <w:p w14:paraId="7BBFA59F" w14:textId="77777777" w:rsidR="00E67E51" w:rsidRPr="0070667D" w:rsidRDefault="00E67E51" w:rsidP="00E67E51">
      <w:pPr>
        <w:tabs>
          <w:tab w:val="clear" w:pos="1134"/>
        </w:tabs>
        <w:autoSpaceDE w:val="0"/>
        <w:autoSpaceDN w:val="0"/>
        <w:adjustRightInd w:val="0"/>
        <w:spacing w:before="240"/>
        <w:ind w:left="567" w:hanging="567"/>
        <w:jc w:val="left"/>
        <w:rPr>
          <w:rFonts w:eastAsia="MS Mincho" w:cs="Verdana"/>
          <w:lang w:val="es-ES"/>
        </w:rPr>
      </w:pPr>
      <w:r w:rsidRPr="0070667D">
        <w:rPr>
          <w:lang w:val="es-ES"/>
        </w:rPr>
        <w:t>2)</w:t>
      </w:r>
      <w:r w:rsidRPr="0070667D">
        <w:rPr>
          <w:lang w:val="es-ES"/>
        </w:rPr>
        <w:tab/>
        <w:t>que señale la presente resolución a la atención de todos los interesados;</w:t>
      </w:r>
    </w:p>
    <w:p w14:paraId="0241C1D2" w14:textId="77777777" w:rsidR="00E67E51" w:rsidRPr="0070667D" w:rsidRDefault="00E67E51" w:rsidP="00E67E51">
      <w:pPr>
        <w:pStyle w:val="WMOBodyText"/>
        <w:ind w:right="-170"/>
        <w:rPr>
          <w:lang w:val="es-ES"/>
        </w:rPr>
      </w:pPr>
      <w:r w:rsidRPr="0070667D">
        <w:rPr>
          <w:b/>
          <w:bCs/>
          <w:lang w:val="es-ES"/>
        </w:rPr>
        <w:t xml:space="preserve">Solicita </w:t>
      </w:r>
      <w:r w:rsidRPr="0070667D">
        <w:rPr>
          <w:lang w:val="es-ES"/>
        </w:rPr>
        <w:t>a la INFCOM que determine las divergencias entre los requisitos de la GBON y la composición inicial de la red y que supervise de cerca la conformidad de la GBON a fin de informar periódicamente sobre los progresos logrados en la implementación de la red y obtener del Consejo Ejecutivo las orientaciones que resulten pertinentes, al objeto de elaborar planes para su evolución y mantenimiento ulteriores;</w:t>
      </w:r>
    </w:p>
    <w:p w14:paraId="2FB54EE9" w14:textId="0ED41600" w:rsidR="00E67E51" w:rsidRPr="0070667D" w:rsidRDefault="00E67E51" w:rsidP="00AD586F">
      <w:pPr>
        <w:pStyle w:val="WMOBodyText"/>
        <w:spacing w:after="240"/>
        <w:rPr>
          <w:rFonts w:eastAsia="MS Mincho"/>
          <w:color w:val="000000"/>
          <w:lang w:val="es-ES"/>
        </w:rPr>
      </w:pPr>
      <w:r w:rsidRPr="0070667D">
        <w:rPr>
          <w:b/>
          <w:bCs/>
          <w:lang w:val="es-ES"/>
        </w:rPr>
        <w:lastRenderedPageBreak/>
        <w:t xml:space="preserve">Solicita </w:t>
      </w:r>
      <w:r w:rsidRPr="0070667D">
        <w:rPr>
          <w:lang w:val="es-ES"/>
        </w:rPr>
        <w:t xml:space="preserve">al Consejo Ejecutivo que brinde orientación a </w:t>
      </w:r>
      <w:r w:rsidR="00D80AC2" w:rsidRPr="0070667D">
        <w:rPr>
          <w:lang w:val="es-ES"/>
        </w:rPr>
        <w:t xml:space="preserve">la </w:t>
      </w:r>
      <w:r w:rsidRPr="0070667D">
        <w:rPr>
          <w:lang w:val="es-ES"/>
        </w:rPr>
        <w:t>INFCOM sobre el modo de solventar las divergencias determinadas, en cooperación con las partes interesadas pertinentes, incluidos los asociados para el desarrollo;</w:t>
      </w:r>
    </w:p>
    <w:p w14:paraId="59A10E45" w14:textId="77777777" w:rsidR="00E67E51" w:rsidRPr="0070667D" w:rsidRDefault="00E67E51" w:rsidP="00AD586F">
      <w:pPr>
        <w:shd w:val="clear" w:color="auto" w:fill="FFFFFF"/>
        <w:tabs>
          <w:tab w:val="clear" w:pos="1134"/>
          <w:tab w:val="left" w:pos="567"/>
        </w:tabs>
        <w:spacing w:before="100" w:beforeAutospacing="1" w:after="240"/>
        <w:jc w:val="left"/>
        <w:rPr>
          <w:rFonts w:eastAsia="Times New Roman" w:cs="Times New Roman"/>
          <w:color w:val="000000"/>
          <w:bdr w:val="none" w:sz="0" w:space="0" w:color="auto" w:frame="1"/>
          <w:lang w:val="es-ES"/>
        </w:rPr>
      </w:pPr>
      <w:r w:rsidRPr="0070667D">
        <w:rPr>
          <w:b/>
          <w:bCs/>
          <w:lang w:val="es-ES"/>
        </w:rPr>
        <w:t xml:space="preserve">Insta </w:t>
      </w:r>
      <w:r w:rsidRPr="0070667D">
        <w:rPr>
          <w:lang w:val="es-ES"/>
        </w:rPr>
        <w:t>a los Miembros:</w:t>
      </w:r>
    </w:p>
    <w:p w14:paraId="12AD64CE" w14:textId="77777777" w:rsidR="00E67E51" w:rsidRPr="0070667D" w:rsidRDefault="00E67E51" w:rsidP="00AD586F">
      <w:pPr>
        <w:shd w:val="clear" w:color="auto" w:fill="FFFFFF"/>
        <w:tabs>
          <w:tab w:val="clear" w:pos="1134"/>
          <w:tab w:val="left" w:pos="567"/>
        </w:tabs>
        <w:spacing w:before="120" w:after="240"/>
        <w:ind w:left="567" w:hanging="567"/>
        <w:jc w:val="left"/>
        <w:rPr>
          <w:lang w:val="es-ES"/>
        </w:rPr>
      </w:pPr>
      <w:r w:rsidRPr="0070667D">
        <w:rPr>
          <w:lang w:val="es-ES"/>
        </w:rPr>
        <w:t>1)</w:t>
      </w:r>
      <w:r w:rsidRPr="0070667D">
        <w:rPr>
          <w:lang w:val="es-ES"/>
        </w:rPr>
        <w:tab/>
        <w:t>a colaborar con la INFCOM y a contribuir a la composición de la GBON;</w:t>
      </w:r>
    </w:p>
    <w:p w14:paraId="713F1F53" w14:textId="13CC18DD" w:rsidR="00FB4D38" w:rsidRPr="0070667D" w:rsidRDefault="00E67E51" w:rsidP="00E67E51">
      <w:pPr>
        <w:tabs>
          <w:tab w:val="clear" w:pos="1134"/>
        </w:tabs>
        <w:autoSpaceDE w:val="0"/>
        <w:autoSpaceDN w:val="0"/>
        <w:adjustRightInd w:val="0"/>
        <w:spacing w:before="120"/>
        <w:ind w:left="567" w:hanging="567"/>
        <w:jc w:val="left"/>
        <w:rPr>
          <w:rFonts w:eastAsia="MS Mincho" w:cs="Verdana"/>
          <w:lang w:val="es-ES"/>
        </w:rPr>
      </w:pPr>
      <w:r w:rsidRPr="0070667D">
        <w:rPr>
          <w:lang w:val="es-ES"/>
        </w:rPr>
        <w:t>2)</w:t>
      </w:r>
      <w:r w:rsidRPr="0070667D">
        <w:rPr>
          <w:lang w:val="es-ES"/>
        </w:rPr>
        <w:tab/>
        <w:t>a examina</w:t>
      </w:r>
      <w:r w:rsidR="008A5170" w:rsidRPr="0070667D">
        <w:rPr>
          <w:lang w:val="es-ES"/>
        </w:rPr>
        <w:t xml:space="preserve">r periódicamente </w:t>
      </w:r>
      <w:r w:rsidRPr="0070667D">
        <w:rPr>
          <w:lang w:val="es-ES"/>
        </w:rPr>
        <w:t xml:space="preserve">la composición de la GBON y </w:t>
      </w:r>
      <w:r w:rsidR="008A5170" w:rsidRPr="0070667D">
        <w:rPr>
          <w:lang w:val="es-ES"/>
        </w:rPr>
        <w:t xml:space="preserve">actualizarla </w:t>
      </w:r>
      <w:r w:rsidRPr="0070667D">
        <w:rPr>
          <w:lang w:val="es-ES"/>
        </w:rPr>
        <w:t>cuando sea necesario.</w:t>
      </w:r>
    </w:p>
    <w:p w14:paraId="28D88784" w14:textId="77777777" w:rsidR="00157949" w:rsidRPr="0070667D" w:rsidRDefault="00157949" w:rsidP="001527A3">
      <w:pPr>
        <w:spacing w:before="480"/>
        <w:jc w:val="center"/>
        <w:rPr>
          <w:lang w:val="es-ES"/>
        </w:rPr>
      </w:pPr>
      <w:r w:rsidRPr="0070667D">
        <w:rPr>
          <w:lang w:val="es-ES"/>
        </w:rPr>
        <w:t>___________</w:t>
      </w:r>
    </w:p>
    <w:bookmarkStart w:id="2" w:name="_Hlk132347793"/>
    <w:p w14:paraId="42928679" w14:textId="098A83A9" w:rsidR="007F4AD0" w:rsidRPr="0070667D" w:rsidRDefault="00CC12B6" w:rsidP="003F2E59">
      <w:pPr>
        <w:pStyle w:val="WMOBodyText"/>
        <w:tabs>
          <w:tab w:val="left" w:pos="1276"/>
        </w:tabs>
        <w:spacing w:before="480"/>
        <w:ind w:left="1276" w:hanging="1276"/>
        <w:rPr>
          <w:rStyle w:val="Hyperlink"/>
          <w:lang w:val="es-ES"/>
        </w:rPr>
      </w:pPr>
      <w:r w:rsidRPr="0070667D">
        <w:rPr>
          <w:lang w:val="es-ES"/>
        </w:rPr>
        <w:fldChar w:fldCharType="begin"/>
      </w:r>
      <w:r w:rsidRPr="0070667D">
        <w:rPr>
          <w:lang w:val="es-ES"/>
        </w:rPr>
        <w:instrText xml:space="preserve"> HYPERLINK  \l "AnexoResolución" </w:instrText>
      </w:r>
      <w:r w:rsidRPr="0070667D">
        <w:rPr>
          <w:lang w:val="es-ES"/>
        </w:rPr>
        <w:fldChar w:fldCharType="separate"/>
      </w:r>
      <w:r w:rsidR="001527A3" w:rsidRPr="0070667D">
        <w:rPr>
          <w:rStyle w:val="Hyperlink"/>
          <w:lang w:val="es-ES"/>
        </w:rPr>
        <w:t>Anexo</w:t>
      </w:r>
      <w:r w:rsidR="00A73E02" w:rsidRPr="0070667D">
        <w:rPr>
          <w:rStyle w:val="Hyperlink"/>
          <w:lang w:val="es-ES"/>
        </w:rPr>
        <w:t xml:space="preserve"> 1</w:t>
      </w:r>
      <w:bookmarkEnd w:id="2"/>
      <w:r w:rsidR="001527A3" w:rsidRPr="0070667D">
        <w:rPr>
          <w:rStyle w:val="Hyperlink"/>
          <w:lang w:val="es-ES"/>
        </w:rPr>
        <w:t>:</w:t>
      </w:r>
      <w:r w:rsidRPr="0070667D">
        <w:rPr>
          <w:lang w:val="es-ES"/>
        </w:rPr>
        <w:fldChar w:fldCharType="end"/>
      </w:r>
      <w:r w:rsidR="001527A3" w:rsidRPr="0070667D">
        <w:rPr>
          <w:lang w:val="es-ES"/>
        </w:rPr>
        <w:t xml:space="preserve"> </w:t>
      </w:r>
      <w:r w:rsidR="00AA5160" w:rsidRPr="0070667D">
        <w:rPr>
          <w:lang w:val="es-ES"/>
        </w:rPr>
        <w:tab/>
      </w:r>
      <w:r w:rsidR="00A73E02" w:rsidRPr="0070667D">
        <w:rPr>
          <w:lang w:val="es-ES"/>
        </w:rPr>
        <w:t>Apéndice</w:t>
      </w:r>
      <w:r w:rsidR="00A73E02" w:rsidRPr="0070667D">
        <w:rPr>
          <w:rStyle w:val="Hyperlink"/>
          <w:lang w:val="es-ES"/>
        </w:rPr>
        <w:t xml:space="preserve"> </w:t>
      </w:r>
      <w:r w:rsidR="00A73E02" w:rsidRPr="0070667D">
        <w:rPr>
          <w:rFonts w:eastAsia="Arial" w:cs="Arial"/>
          <w:lang w:val="es-ES" w:eastAsia="en-US"/>
        </w:rPr>
        <w:t xml:space="preserve">3.1 </w:t>
      </w:r>
      <w:r w:rsidR="007F4AD0" w:rsidRPr="0070667D">
        <w:rPr>
          <w:rFonts w:eastAsia="Arial" w:cs="Arial"/>
          <w:lang w:val="es-ES" w:eastAsia="en-US"/>
        </w:rPr>
        <w:t>—</w:t>
      </w:r>
      <w:r w:rsidR="007F4AD0" w:rsidRPr="0070667D">
        <w:rPr>
          <w:rStyle w:val="Hyperlink"/>
          <w:lang w:val="es-ES"/>
        </w:rPr>
        <w:t xml:space="preserve"> </w:t>
      </w:r>
      <w:r w:rsidR="007F4AD0" w:rsidRPr="0070667D">
        <w:rPr>
          <w:rFonts w:eastAsia="Arial" w:cs="Arial"/>
          <w:lang w:val="es-ES" w:eastAsia="en-US"/>
        </w:rPr>
        <w:t xml:space="preserve">Proceso de designación de </w:t>
      </w:r>
      <w:r w:rsidR="003F2E59" w:rsidRPr="0070667D">
        <w:rPr>
          <w:rFonts w:eastAsia="Arial" w:cs="Arial"/>
          <w:lang w:val="es-ES" w:eastAsia="en-US"/>
        </w:rPr>
        <w:t xml:space="preserve">las </w:t>
      </w:r>
      <w:r w:rsidR="007F4AD0" w:rsidRPr="0070667D">
        <w:rPr>
          <w:rFonts w:eastAsia="Arial" w:cs="Arial"/>
          <w:lang w:val="es-ES" w:eastAsia="en-US"/>
        </w:rPr>
        <w:t xml:space="preserve">estaciones de la </w:t>
      </w:r>
      <w:r w:rsidR="003F2E59" w:rsidRPr="0070667D">
        <w:rPr>
          <w:lang w:val="es-ES"/>
        </w:rPr>
        <w:t>Red Mundial Básica de Observaciones</w:t>
      </w:r>
    </w:p>
    <w:bookmarkStart w:id="3" w:name="_Hlk132348176"/>
    <w:p w14:paraId="4AAEC862" w14:textId="63D04689" w:rsidR="00D74ABE" w:rsidRPr="0070667D" w:rsidRDefault="00CC12B6" w:rsidP="00E0267E">
      <w:pPr>
        <w:pStyle w:val="WMOBodyText"/>
        <w:spacing w:before="480"/>
        <w:ind w:left="1276" w:hanging="1276"/>
        <w:rPr>
          <w:color w:val="0000FF"/>
          <w:lang w:val="es-ES"/>
        </w:rPr>
      </w:pPr>
      <w:r w:rsidRPr="0070667D">
        <w:rPr>
          <w:color w:val="0000FF"/>
          <w:lang w:val="es-ES"/>
        </w:rPr>
        <w:fldChar w:fldCharType="begin"/>
      </w:r>
      <w:r w:rsidRPr="0070667D">
        <w:rPr>
          <w:color w:val="0000FF"/>
          <w:lang w:val="es-ES"/>
        </w:rPr>
        <w:instrText xml:space="preserve"> HYPERLINK  \l "AnexoRecomendación" </w:instrText>
      </w:r>
      <w:r w:rsidRPr="0070667D">
        <w:rPr>
          <w:color w:val="0000FF"/>
          <w:lang w:val="es-ES"/>
        </w:rPr>
        <w:fldChar w:fldCharType="separate"/>
      </w:r>
      <w:r w:rsidR="00D74ABE" w:rsidRPr="0070667D">
        <w:rPr>
          <w:rStyle w:val="Hyperlink"/>
          <w:lang w:val="es-ES"/>
        </w:rPr>
        <w:t>Anexo 2</w:t>
      </w:r>
      <w:bookmarkEnd w:id="3"/>
      <w:r w:rsidR="00D74ABE" w:rsidRPr="0070667D">
        <w:rPr>
          <w:rStyle w:val="Hyperlink"/>
          <w:lang w:val="es-ES"/>
        </w:rPr>
        <w:t>:</w:t>
      </w:r>
      <w:r w:rsidRPr="0070667D">
        <w:rPr>
          <w:color w:val="0000FF"/>
          <w:lang w:val="es-ES"/>
        </w:rPr>
        <w:fldChar w:fldCharType="end"/>
      </w:r>
      <w:r w:rsidR="00D74ABE" w:rsidRPr="0070667D">
        <w:rPr>
          <w:color w:val="0000FF"/>
          <w:lang w:val="es-ES"/>
        </w:rPr>
        <w:tab/>
      </w:r>
      <w:r w:rsidR="002F6819" w:rsidRPr="0070667D">
        <w:rPr>
          <w:lang w:val="es-ES"/>
        </w:rPr>
        <w:t>Cambios efectuados por el Congreso en la lista de las estaciones de la Red Mundial Básica de Observaciones designadas según las recomendaciones del presidente de la Comisión de Infraestructura y publicadas en la herramienta web de la Red a 30 de abril de 2023</w:t>
      </w:r>
    </w:p>
    <w:p w14:paraId="49468D4E" w14:textId="77496824" w:rsidR="00412C90" w:rsidRPr="0070667D" w:rsidRDefault="00412C90" w:rsidP="00412C90">
      <w:pPr>
        <w:pStyle w:val="WMONote"/>
        <w:rPr>
          <w:lang w:val="es-ES"/>
        </w:rPr>
      </w:pPr>
      <w:r w:rsidRPr="0070667D">
        <w:rPr>
          <w:lang w:val="es-ES"/>
        </w:rPr>
        <w:t>_______</w:t>
      </w:r>
    </w:p>
    <w:p w14:paraId="40C23FCA" w14:textId="6012ADFF" w:rsidR="002204FD" w:rsidRPr="0070667D" w:rsidRDefault="002204FD" w:rsidP="00D243E4">
      <w:pPr>
        <w:pStyle w:val="WMONote"/>
        <w:rPr>
          <w:b/>
          <w:bCs w:val="0"/>
          <w:iCs/>
          <w:szCs w:val="22"/>
          <w:lang w:val="es-ES"/>
        </w:rPr>
      </w:pPr>
      <w:r w:rsidRPr="0070667D">
        <w:rPr>
          <w:lang w:val="es-ES"/>
        </w:rPr>
        <w:br w:type="page"/>
      </w:r>
    </w:p>
    <w:p w14:paraId="7715F88E" w14:textId="4EC090B2" w:rsidR="00814CC6" w:rsidRPr="0070667D" w:rsidRDefault="001527A3" w:rsidP="00ED709D">
      <w:pPr>
        <w:jc w:val="center"/>
        <w:rPr>
          <w:b/>
          <w:bCs/>
          <w:sz w:val="22"/>
          <w:szCs w:val="22"/>
          <w:lang w:val="es-ES"/>
        </w:rPr>
      </w:pPr>
      <w:bookmarkStart w:id="4" w:name="_Annex_to_draft_3"/>
      <w:bookmarkStart w:id="5" w:name="AnexoResolución"/>
      <w:bookmarkEnd w:id="4"/>
      <w:bookmarkEnd w:id="5"/>
      <w:r w:rsidRPr="0070667D">
        <w:rPr>
          <w:b/>
          <w:bCs/>
          <w:sz w:val="22"/>
          <w:szCs w:val="22"/>
          <w:lang w:val="es-ES"/>
        </w:rPr>
        <w:lastRenderedPageBreak/>
        <w:t xml:space="preserve">Anexo </w:t>
      </w:r>
      <w:r w:rsidR="00250D57" w:rsidRPr="0070667D">
        <w:rPr>
          <w:b/>
          <w:bCs/>
          <w:sz w:val="22"/>
          <w:szCs w:val="22"/>
          <w:lang w:val="es-ES"/>
        </w:rPr>
        <w:t xml:space="preserve">1 </w:t>
      </w:r>
      <w:r w:rsidRPr="0070667D">
        <w:rPr>
          <w:b/>
          <w:bCs/>
          <w:sz w:val="22"/>
          <w:szCs w:val="22"/>
          <w:lang w:val="es-ES"/>
        </w:rPr>
        <w:t xml:space="preserve">al proyecto de Resolución </w:t>
      </w:r>
      <w:r w:rsidR="00A73654" w:rsidRPr="0070667D">
        <w:rPr>
          <w:b/>
          <w:bCs/>
          <w:sz w:val="22"/>
          <w:szCs w:val="22"/>
          <w:lang w:val="es-ES"/>
        </w:rPr>
        <w:t>4.2(2)/1 (Cg-19)</w:t>
      </w:r>
    </w:p>
    <w:p w14:paraId="270D8DC4" w14:textId="4AF9B5AC" w:rsidR="00BC1EA6" w:rsidRPr="0070667D" w:rsidRDefault="00BC1EA6" w:rsidP="00BC1EA6">
      <w:pPr>
        <w:pStyle w:val="Heading2"/>
        <w:rPr>
          <w:caps/>
          <w:lang w:val="es-ES"/>
        </w:rPr>
      </w:pPr>
      <w:r w:rsidRPr="0070667D">
        <w:rPr>
          <w:lang w:val="es-ES"/>
        </w:rPr>
        <w:t xml:space="preserve">Apéndice 3.1 — Proceso de designación de </w:t>
      </w:r>
      <w:r w:rsidR="00D05D68" w:rsidRPr="0070667D">
        <w:rPr>
          <w:lang w:val="es-ES"/>
        </w:rPr>
        <w:t xml:space="preserve">las </w:t>
      </w:r>
      <w:r w:rsidRPr="0070667D">
        <w:rPr>
          <w:lang w:val="es-ES"/>
        </w:rPr>
        <w:t xml:space="preserve">estaciones </w:t>
      </w:r>
      <w:r w:rsidR="00AA7C4C" w:rsidRPr="0070667D">
        <w:rPr>
          <w:lang w:val="es-ES"/>
        </w:rPr>
        <w:br/>
      </w:r>
      <w:r w:rsidRPr="0070667D">
        <w:rPr>
          <w:lang w:val="es-ES"/>
        </w:rPr>
        <w:t xml:space="preserve">de la </w:t>
      </w:r>
      <w:r w:rsidR="00456A3F" w:rsidRPr="0070667D">
        <w:rPr>
          <w:lang w:val="es-ES"/>
        </w:rPr>
        <w:t>Red Mundial Básica de Observaciones</w:t>
      </w:r>
    </w:p>
    <w:p w14:paraId="4BBAB82B" w14:textId="4FC6D8E9" w:rsidR="0003041B" w:rsidRPr="0070667D" w:rsidRDefault="0003041B" w:rsidP="0003041B">
      <w:pPr>
        <w:tabs>
          <w:tab w:val="clear" w:pos="1134"/>
        </w:tabs>
        <w:autoSpaceDE w:val="0"/>
        <w:autoSpaceDN w:val="0"/>
        <w:adjustRightInd w:val="0"/>
        <w:spacing w:after="120"/>
        <w:jc w:val="center"/>
        <w:rPr>
          <w:lang w:val="es-ES"/>
        </w:rPr>
      </w:pPr>
      <w:r w:rsidRPr="0070667D">
        <w:rPr>
          <w:lang w:val="es-ES"/>
        </w:rPr>
        <w:t xml:space="preserve">(Idéntico al </w:t>
      </w:r>
      <w:r w:rsidR="00D05D68" w:rsidRPr="0070667D">
        <w:rPr>
          <w:lang w:val="es-ES"/>
        </w:rPr>
        <w:t>a</w:t>
      </w:r>
      <w:r w:rsidRPr="0070667D">
        <w:rPr>
          <w:lang w:val="es-ES"/>
        </w:rPr>
        <w:t xml:space="preserve">nexo a la </w:t>
      </w:r>
      <w:hyperlink r:id="rId26" w:history="1">
        <w:r w:rsidRPr="0070667D">
          <w:rPr>
            <w:rStyle w:val="Hyperlink"/>
            <w:lang w:val="es-ES"/>
          </w:rPr>
          <w:t>Resolución 18 (EC-76)</w:t>
        </w:r>
      </w:hyperlink>
      <w:r w:rsidRPr="0070667D">
        <w:rPr>
          <w:lang w:val="es-ES"/>
        </w:rPr>
        <w:t xml:space="preserve"> — Enmiendas al </w:t>
      </w:r>
      <w:r w:rsidRPr="0070667D">
        <w:rPr>
          <w:i/>
          <w:iCs/>
          <w:lang w:val="es-ES"/>
        </w:rPr>
        <w:t>Manual del Sistema Mundial Integrado de Sistemas de Observación de la OMM</w:t>
      </w:r>
      <w:r w:rsidRPr="0070667D">
        <w:rPr>
          <w:lang w:val="es-ES"/>
        </w:rPr>
        <w:t xml:space="preserve"> (OMM-Nº 1160), apéndice 3.1)</w:t>
      </w:r>
      <w:bookmarkStart w:id="6" w:name="_Hlk63347395"/>
      <w:bookmarkEnd w:id="6"/>
    </w:p>
    <w:p w14:paraId="415B87AB" w14:textId="2EE5DE67" w:rsidR="00D776B6" w:rsidRPr="0070667D" w:rsidRDefault="00D776B6" w:rsidP="00D776B6">
      <w:pPr>
        <w:pStyle w:val="Heading3"/>
        <w:rPr>
          <w:lang w:val="es-ES"/>
        </w:rPr>
      </w:pPr>
      <w:r w:rsidRPr="0070667D">
        <w:rPr>
          <w:lang w:val="es-ES"/>
        </w:rPr>
        <w:t>Todas las partes interesadas debe</w:t>
      </w:r>
      <w:r w:rsidR="00B22D19" w:rsidRPr="0070667D">
        <w:rPr>
          <w:lang w:val="es-ES"/>
        </w:rPr>
        <w:t xml:space="preserve">rán seguir </w:t>
      </w:r>
      <w:r w:rsidRPr="0070667D">
        <w:rPr>
          <w:lang w:val="es-ES"/>
        </w:rPr>
        <w:t xml:space="preserve">el proceso de designación de las estaciones de la </w:t>
      </w:r>
      <w:r w:rsidR="002E7D84" w:rsidRPr="0070667D">
        <w:rPr>
          <w:lang w:val="es-ES"/>
        </w:rPr>
        <w:t>Red Mundial Básica de Observaciones (</w:t>
      </w:r>
      <w:r w:rsidRPr="0070667D">
        <w:rPr>
          <w:lang w:val="es-ES"/>
        </w:rPr>
        <w:t>GBON</w:t>
      </w:r>
      <w:r w:rsidR="002E7D84" w:rsidRPr="0070667D">
        <w:rPr>
          <w:lang w:val="es-ES"/>
        </w:rPr>
        <w:t>)</w:t>
      </w:r>
      <w:r w:rsidRPr="0070667D">
        <w:rPr>
          <w:lang w:val="es-ES"/>
        </w:rPr>
        <w:t xml:space="preserve"> </w:t>
      </w:r>
      <w:r w:rsidR="00B22D19" w:rsidRPr="0070667D">
        <w:rPr>
          <w:lang w:val="es-ES"/>
        </w:rPr>
        <w:t xml:space="preserve">que se especifica </w:t>
      </w:r>
      <w:r w:rsidRPr="0070667D">
        <w:rPr>
          <w:lang w:val="es-ES"/>
        </w:rPr>
        <w:t>en el presente apéndice.</w:t>
      </w:r>
    </w:p>
    <w:p w14:paraId="6F7091C5" w14:textId="291398E8" w:rsidR="00D776B6" w:rsidRPr="0070667D" w:rsidRDefault="00D776B6" w:rsidP="00D776B6">
      <w:pPr>
        <w:pStyle w:val="Heading3"/>
        <w:rPr>
          <w:b w:val="0"/>
          <w:bCs w:val="0"/>
          <w:sz w:val="16"/>
          <w:szCs w:val="16"/>
          <w:lang w:val="es-ES"/>
        </w:rPr>
      </w:pPr>
      <w:r w:rsidRPr="0070667D">
        <w:rPr>
          <w:b w:val="0"/>
          <w:bCs w:val="0"/>
          <w:sz w:val="16"/>
          <w:szCs w:val="16"/>
          <w:lang w:val="es-ES"/>
        </w:rPr>
        <w:t xml:space="preserve">Nota: De conformidad con la Resolución 4.2(2)/1 (Cg-19) — Composición inicial de la </w:t>
      </w:r>
      <w:r w:rsidR="00E809A8" w:rsidRPr="0070667D">
        <w:rPr>
          <w:b w:val="0"/>
          <w:bCs w:val="0"/>
          <w:sz w:val="16"/>
          <w:szCs w:val="16"/>
          <w:lang w:val="es-ES"/>
        </w:rPr>
        <w:t>Red Mundial Básica de Observaciones</w:t>
      </w:r>
      <w:r w:rsidRPr="0070667D">
        <w:rPr>
          <w:b w:val="0"/>
          <w:bCs w:val="0"/>
          <w:sz w:val="16"/>
          <w:szCs w:val="16"/>
          <w:lang w:val="es-ES"/>
        </w:rPr>
        <w:t xml:space="preserve">, el Congreso delega </w:t>
      </w:r>
      <w:r w:rsidR="0053262A" w:rsidRPr="0070667D">
        <w:rPr>
          <w:b w:val="0"/>
          <w:bCs w:val="0"/>
          <w:sz w:val="16"/>
          <w:szCs w:val="16"/>
          <w:lang w:val="es-ES"/>
        </w:rPr>
        <w:t>en</w:t>
      </w:r>
      <w:r w:rsidRPr="0070667D">
        <w:rPr>
          <w:b w:val="0"/>
          <w:bCs w:val="0"/>
          <w:sz w:val="16"/>
          <w:szCs w:val="16"/>
          <w:lang w:val="es-ES"/>
        </w:rPr>
        <w:t xml:space="preserve"> la </w:t>
      </w:r>
      <w:r w:rsidR="00CD0642" w:rsidRPr="0070667D">
        <w:rPr>
          <w:b w:val="0"/>
          <w:bCs w:val="0"/>
          <w:sz w:val="16"/>
          <w:szCs w:val="16"/>
          <w:lang w:val="es-ES"/>
        </w:rPr>
        <w:t>Comisión de Observaciones, Infraestructura y Sistemas de Información (</w:t>
      </w:r>
      <w:r w:rsidR="0053262A" w:rsidRPr="0070667D">
        <w:rPr>
          <w:b w:val="0"/>
          <w:bCs w:val="0"/>
          <w:sz w:val="16"/>
          <w:szCs w:val="16"/>
          <w:lang w:val="es-ES"/>
        </w:rPr>
        <w:t>INFCOM</w:t>
      </w:r>
      <w:r w:rsidR="00CD0642" w:rsidRPr="0070667D">
        <w:rPr>
          <w:b w:val="0"/>
          <w:bCs w:val="0"/>
          <w:sz w:val="16"/>
          <w:szCs w:val="16"/>
          <w:lang w:val="es-ES"/>
        </w:rPr>
        <w:t>)</w:t>
      </w:r>
      <w:r w:rsidR="0053262A" w:rsidRPr="0070667D">
        <w:rPr>
          <w:b w:val="0"/>
          <w:bCs w:val="0"/>
          <w:sz w:val="16"/>
          <w:szCs w:val="16"/>
          <w:lang w:val="es-ES"/>
        </w:rPr>
        <w:t xml:space="preserve"> </w:t>
      </w:r>
      <w:r w:rsidRPr="0070667D">
        <w:rPr>
          <w:b w:val="0"/>
          <w:bCs w:val="0"/>
          <w:sz w:val="16"/>
          <w:szCs w:val="16"/>
          <w:lang w:val="es-ES"/>
        </w:rPr>
        <w:t>el mantenimiento de la composición de la GBON.</w:t>
      </w:r>
    </w:p>
    <w:p w14:paraId="4C952CED" w14:textId="10444830" w:rsidR="00D776B6" w:rsidRPr="0070667D" w:rsidRDefault="00D776B6" w:rsidP="00D776B6">
      <w:pPr>
        <w:pStyle w:val="WMOBodyText"/>
        <w:tabs>
          <w:tab w:val="left" w:pos="1134"/>
        </w:tabs>
        <w:ind w:right="-170"/>
        <w:rPr>
          <w:lang w:val="es-ES"/>
        </w:rPr>
      </w:pPr>
      <w:r w:rsidRPr="0070667D">
        <w:rPr>
          <w:lang w:val="es-ES"/>
        </w:rPr>
        <w:t xml:space="preserve">1. </w:t>
      </w:r>
      <w:r w:rsidRPr="0070667D">
        <w:rPr>
          <w:lang w:val="es-ES"/>
        </w:rPr>
        <w:tab/>
        <w:t>La lista de</w:t>
      </w:r>
      <w:r w:rsidR="00455CFB" w:rsidRPr="0070667D">
        <w:rPr>
          <w:lang w:val="es-ES"/>
        </w:rPr>
        <w:t xml:space="preserve"> las</w:t>
      </w:r>
      <w:r w:rsidRPr="0070667D">
        <w:rPr>
          <w:lang w:val="es-ES"/>
        </w:rPr>
        <w:t xml:space="preserve"> estaciones </w:t>
      </w:r>
      <w:r w:rsidR="00343ECE" w:rsidRPr="0070667D">
        <w:rPr>
          <w:lang w:val="es-ES"/>
        </w:rPr>
        <w:t>y</w:t>
      </w:r>
      <w:r w:rsidRPr="0070667D">
        <w:rPr>
          <w:lang w:val="es-ES"/>
        </w:rPr>
        <w:t xml:space="preserve"> plataformas de la GBON se extrae de la lista de todas las estaciones </w:t>
      </w:r>
      <w:r w:rsidR="00343ECE" w:rsidRPr="0070667D">
        <w:rPr>
          <w:lang w:val="es-ES"/>
        </w:rPr>
        <w:t>y</w:t>
      </w:r>
      <w:r w:rsidRPr="0070667D">
        <w:rPr>
          <w:lang w:val="es-ES"/>
        </w:rPr>
        <w:t xml:space="preserve"> plataformas </w:t>
      </w:r>
      <w:r w:rsidR="00C369A6" w:rsidRPr="0070667D">
        <w:rPr>
          <w:lang w:val="es-ES"/>
        </w:rPr>
        <w:t>d</w:t>
      </w:r>
      <w:r w:rsidRPr="0070667D">
        <w:rPr>
          <w:lang w:val="es-ES"/>
        </w:rPr>
        <w:t xml:space="preserve">el </w:t>
      </w:r>
      <w:r w:rsidR="00455CFB" w:rsidRPr="0070667D">
        <w:rPr>
          <w:lang w:val="es-ES"/>
        </w:rPr>
        <w:t>Sistema Mundial Integrado de Sistemas de Observación de la OMM (</w:t>
      </w:r>
      <w:r w:rsidRPr="0070667D">
        <w:rPr>
          <w:lang w:val="es-ES"/>
        </w:rPr>
        <w:t>WIGOS</w:t>
      </w:r>
      <w:r w:rsidR="00455CFB" w:rsidRPr="0070667D">
        <w:rPr>
          <w:lang w:val="es-ES"/>
        </w:rPr>
        <w:t>)</w:t>
      </w:r>
      <w:r w:rsidRPr="0070667D">
        <w:rPr>
          <w:lang w:val="es-ES"/>
        </w:rPr>
        <w:t xml:space="preserve"> registradas por los Miembros en la Herramienta de Análisis y Examen de la Capacidad de los Sistemas de Observación en Superficie (OSCAR/Superficie) y </w:t>
      </w:r>
      <w:r w:rsidR="000F7D75" w:rsidRPr="0070667D">
        <w:rPr>
          <w:lang w:val="es-ES"/>
        </w:rPr>
        <w:t xml:space="preserve">cuyos datos son objeto de </w:t>
      </w:r>
      <w:r w:rsidR="00C832F0" w:rsidRPr="0070667D">
        <w:rPr>
          <w:lang w:val="es-ES"/>
        </w:rPr>
        <w:t xml:space="preserve">control de calidad en </w:t>
      </w:r>
      <w:r w:rsidRPr="0070667D">
        <w:rPr>
          <w:lang w:val="es-ES"/>
        </w:rPr>
        <w:t>el Sistema de Control de la Calidad de los Datos del WIGOS (WDQMS).</w:t>
      </w:r>
    </w:p>
    <w:p w14:paraId="11E94B67" w14:textId="0763DE67" w:rsidR="00D776B6" w:rsidRPr="0070667D" w:rsidRDefault="00D776B6" w:rsidP="00D776B6">
      <w:pPr>
        <w:pStyle w:val="WMOBodyText"/>
        <w:rPr>
          <w:lang w:val="es-ES"/>
        </w:rPr>
      </w:pPr>
      <w:r w:rsidRPr="0070667D">
        <w:rPr>
          <w:lang w:val="es-ES"/>
        </w:rPr>
        <w:t xml:space="preserve">2. </w:t>
      </w:r>
      <w:r w:rsidRPr="0070667D">
        <w:rPr>
          <w:lang w:val="es-ES"/>
        </w:rPr>
        <w:tab/>
        <w:t xml:space="preserve">El subconjunto que los Miembros propondrán para su </w:t>
      </w:r>
      <w:r w:rsidR="00265EAB" w:rsidRPr="0070667D">
        <w:rPr>
          <w:lang w:val="es-ES"/>
        </w:rPr>
        <w:t xml:space="preserve">integración </w:t>
      </w:r>
      <w:r w:rsidRPr="0070667D">
        <w:rPr>
          <w:lang w:val="es-ES"/>
        </w:rPr>
        <w:t>en la GBON se basa en las disposiciones 3.2.2.7 a 3.2.2.10 y 3.2.2.12 a 3.2.2.15.</w:t>
      </w:r>
    </w:p>
    <w:p w14:paraId="3DFE76F3" w14:textId="61BB78D0" w:rsidR="00D776B6" w:rsidRPr="0070667D" w:rsidRDefault="00D776B6" w:rsidP="00D776B6">
      <w:pPr>
        <w:pStyle w:val="WMOBodyText"/>
        <w:rPr>
          <w:lang w:val="es-ES"/>
        </w:rPr>
      </w:pPr>
      <w:r w:rsidRPr="0070667D">
        <w:rPr>
          <w:lang w:val="es-ES"/>
        </w:rPr>
        <w:t xml:space="preserve">3. </w:t>
      </w:r>
      <w:r w:rsidRPr="0070667D">
        <w:rPr>
          <w:lang w:val="es-ES"/>
        </w:rPr>
        <w:tab/>
        <w:t xml:space="preserve">La lista de </w:t>
      </w:r>
      <w:r w:rsidR="00D17F7A" w:rsidRPr="0070667D">
        <w:rPr>
          <w:lang w:val="es-ES"/>
        </w:rPr>
        <w:t xml:space="preserve">las </w:t>
      </w:r>
      <w:r w:rsidRPr="0070667D">
        <w:rPr>
          <w:lang w:val="es-ES"/>
        </w:rPr>
        <w:t xml:space="preserve">estaciones </w:t>
      </w:r>
      <w:r w:rsidR="00D50477" w:rsidRPr="0070667D">
        <w:rPr>
          <w:lang w:val="es-ES"/>
        </w:rPr>
        <w:t>y</w:t>
      </w:r>
      <w:r w:rsidRPr="0070667D">
        <w:rPr>
          <w:lang w:val="es-ES"/>
        </w:rPr>
        <w:t xml:space="preserve"> plataformas de la GBON se elabora en colaboración entre los Miembros y la INFCOM.</w:t>
      </w:r>
    </w:p>
    <w:p w14:paraId="66261B85" w14:textId="7E4CD797" w:rsidR="00D776B6" w:rsidRPr="0070667D" w:rsidRDefault="00D776B6" w:rsidP="00D776B6">
      <w:pPr>
        <w:pStyle w:val="WMOBodyText"/>
        <w:rPr>
          <w:lang w:val="es-ES"/>
        </w:rPr>
      </w:pPr>
      <w:r w:rsidRPr="0070667D">
        <w:rPr>
          <w:lang w:val="es-ES"/>
        </w:rPr>
        <w:t xml:space="preserve">4. </w:t>
      </w:r>
      <w:r w:rsidRPr="0070667D">
        <w:rPr>
          <w:lang w:val="es-ES"/>
        </w:rPr>
        <w:tab/>
        <w:t>La INFCOM realiza un análisis periódico del estado de implementación de la GBON en el que se determina, para cada Miembro, el número de estaciones de observación en superficie y el número de estaciones de observación en altitud que se requieren para que el Miembro en cuestión cumpla sus obligaciones en virtud de lo establecido en las disposiciones 3.2.2.7 a 3.2.2.10 y 3.2.2.12 a 3.2.2.15.</w:t>
      </w:r>
    </w:p>
    <w:p w14:paraId="5EFAB5F3" w14:textId="77777777" w:rsidR="00D776B6" w:rsidRPr="0070667D" w:rsidRDefault="00D776B6" w:rsidP="00D776B6">
      <w:pPr>
        <w:pStyle w:val="WMOBodyText"/>
        <w:rPr>
          <w:lang w:val="es-ES"/>
        </w:rPr>
      </w:pPr>
      <w:r w:rsidRPr="0070667D">
        <w:rPr>
          <w:lang w:val="es-ES"/>
        </w:rPr>
        <w:t xml:space="preserve">5. </w:t>
      </w:r>
      <w:r w:rsidRPr="0070667D">
        <w:rPr>
          <w:lang w:val="es-ES"/>
        </w:rPr>
        <w:tab/>
        <w:t>La INFCOM revisa la contribución designada para cada Miembro, según lo establecido en la disposición 3.2.2.21, evalúa si cumple los requisitos especificados en las disposiciones 3.2.2.7 a 3.2.2.10 y 3.2.2.12 a 3.2.2.15, e informa por escrito de sus conclusiones al Miembro en cuestión.</w:t>
      </w:r>
    </w:p>
    <w:p w14:paraId="5323160D" w14:textId="57C963B8" w:rsidR="00D776B6" w:rsidRPr="0070667D" w:rsidRDefault="00D776B6" w:rsidP="00D776B6">
      <w:pPr>
        <w:pStyle w:val="WMOBodyText"/>
        <w:rPr>
          <w:lang w:val="es-ES"/>
        </w:rPr>
      </w:pPr>
      <w:r w:rsidRPr="0070667D">
        <w:rPr>
          <w:lang w:val="es-ES"/>
        </w:rPr>
        <w:t xml:space="preserve">6. </w:t>
      </w:r>
      <w:r w:rsidRPr="0070667D">
        <w:rPr>
          <w:lang w:val="es-ES"/>
        </w:rPr>
        <w:tab/>
      </w:r>
      <w:r w:rsidR="00610461" w:rsidRPr="0070667D">
        <w:rPr>
          <w:lang w:val="es-ES"/>
        </w:rPr>
        <w:t>En cuanto a</w:t>
      </w:r>
      <w:r w:rsidRPr="0070667D">
        <w:rPr>
          <w:lang w:val="es-ES"/>
        </w:rPr>
        <w:t xml:space="preserve">l mantenimiento de la GBON, los Miembros efectúan y registran la designación o eliminación de estaciones de la GBON en OSCAR/Superficie a través de sus coordinadores nacionales </w:t>
      </w:r>
      <w:r w:rsidR="00AF0A91" w:rsidRPr="0070667D">
        <w:rPr>
          <w:lang w:val="es-ES"/>
        </w:rPr>
        <w:t xml:space="preserve">para </w:t>
      </w:r>
      <w:r w:rsidRPr="0070667D">
        <w:rPr>
          <w:lang w:val="es-ES"/>
        </w:rPr>
        <w:t xml:space="preserve">OSCAR/Superficie. Todas las estaciones de la GBON designadas aparecerán automáticamente en la herramienta web específica de la GBON. Las estaciones designadas por los Miembros en OSCAR/Superficie quedan registradas con el estado </w:t>
      </w:r>
      <w:r w:rsidR="00227AA8" w:rsidRPr="0070667D">
        <w:rPr>
          <w:lang w:val="es-ES"/>
        </w:rPr>
        <w:t>“Pending Approval” (</w:t>
      </w:r>
      <w:r w:rsidRPr="0070667D">
        <w:rPr>
          <w:lang w:val="es-ES"/>
        </w:rPr>
        <w:t>Pendiente de aprobación</w:t>
      </w:r>
      <w:r w:rsidR="00227AA8" w:rsidRPr="0070667D">
        <w:rPr>
          <w:lang w:val="es-ES"/>
        </w:rPr>
        <w:t>)</w:t>
      </w:r>
      <w:r w:rsidRPr="0070667D">
        <w:rPr>
          <w:lang w:val="es-ES"/>
        </w:rPr>
        <w:t xml:space="preserve"> en lo que respecta a su vinculación a la GBON.</w:t>
      </w:r>
    </w:p>
    <w:p w14:paraId="0411C459" w14:textId="2570C2F6" w:rsidR="00D776B6" w:rsidRPr="0070667D" w:rsidRDefault="00D776B6" w:rsidP="00D776B6">
      <w:pPr>
        <w:pStyle w:val="Heading3"/>
        <w:rPr>
          <w:b w:val="0"/>
          <w:bCs w:val="0"/>
          <w:sz w:val="16"/>
          <w:szCs w:val="16"/>
          <w:lang w:val="es-ES"/>
        </w:rPr>
      </w:pPr>
      <w:r w:rsidRPr="0070667D">
        <w:rPr>
          <w:b w:val="0"/>
          <w:bCs w:val="0"/>
          <w:sz w:val="16"/>
          <w:szCs w:val="16"/>
          <w:lang w:val="es-ES"/>
        </w:rPr>
        <w:t xml:space="preserve">Nota: Al eliminar estaciones de la GBON de sus redes, los Miembros deben velar por que se mantenga la integridad y </w:t>
      </w:r>
      <w:r w:rsidR="006C0FD5" w:rsidRPr="0070667D">
        <w:rPr>
          <w:b w:val="0"/>
          <w:bCs w:val="0"/>
          <w:sz w:val="16"/>
          <w:szCs w:val="16"/>
          <w:lang w:val="es-ES"/>
        </w:rPr>
        <w:t xml:space="preserve">la </w:t>
      </w:r>
      <w:r w:rsidRPr="0070667D">
        <w:rPr>
          <w:b w:val="0"/>
          <w:bCs w:val="0"/>
          <w:sz w:val="16"/>
          <w:szCs w:val="16"/>
          <w:lang w:val="es-ES"/>
        </w:rPr>
        <w:t>calidad</w:t>
      </w:r>
      <w:r w:rsidR="006C0FD5" w:rsidRPr="0070667D">
        <w:rPr>
          <w:b w:val="0"/>
          <w:bCs w:val="0"/>
          <w:sz w:val="16"/>
          <w:szCs w:val="16"/>
          <w:lang w:val="es-ES"/>
        </w:rPr>
        <w:t xml:space="preserve"> de la GBON</w:t>
      </w:r>
      <w:r w:rsidRPr="0070667D">
        <w:rPr>
          <w:b w:val="0"/>
          <w:bCs w:val="0"/>
          <w:sz w:val="16"/>
          <w:szCs w:val="16"/>
          <w:lang w:val="es-ES"/>
        </w:rPr>
        <w:t>.</w:t>
      </w:r>
    </w:p>
    <w:p w14:paraId="38A632B8" w14:textId="63098D87" w:rsidR="00D776B6" w:rsidRPr="0070667D" w:rsidRDefault="00D776B6" w:rsidP="00D776B6">
      <w:pPr>
        <w:pStyle w:val="WMOBodyText"/>
        <w:rPr>
          <w:lang w:val="es-ES"/>
        </w:rPr>
      </w:pPr>
      <w:r w:rsidRPr="0070667D">
        <w:rPr>
          <w:lang w:val="es-ES"/>
        </w:rPr>
        <w:t xml:space="preserve">7. </w:t>
      </w:r>
      <w:r w:rsidRPr="0070667D">
        <w:rPr>
          <w:lang w:val="es-ES"/>
        </w:rPr>
        <w:tab/>
        <w:t xml:space="preserve">El presidente de la INFCOM, </w:t>
      </w:r>
      <w:r w:rsidR="00EE5B78" w:rsidRPr="0070667D">
        <w:rPr>
          <w:lang w:val="es-ES"/>
        </w:rPr>
        <w:t>con la asistencia de</w:t>
      </w:r>
      <w:r w:rsidRPr="0070667D">
        <w:rPr>
          <w:lang w:val="es-ES"/>
        </w:rPr>
        <w:t xml:space="preserve"> la Secretaría, examina las designaciones propuestas y elabora el proyecto de </w:t>
      </w:r>
      <w:r w:rsidR="00A71237" w:rsidRPr="0070667D">
        <w:rPr>
          <w:lang w:val="es-ES"/>
        </w:rPr>
        <w:t>r</w:t>
      </w:r>
      <w:r w:rsidRPr="0070667D">
        <w:rPr>
          <w:lang w:val="es-ES"/>
        </w:rPr>
        <w:t xml:space="preserve">esolución </w:t>
      </w:r>
      <w:r w:rsidR="00A71237" w:rsidRPr="0070667D">
        <w:rPr>
          <w:lang w:val="es-ES"/>
        </w:rPr>
        <w:t xml:space="preserve">sobre </w:t>
      </w:r>
      <w:r w:rsidRPr="0070667D">
        <w:rPr>
          <w:lang w:val="es-ES"/>
        </w:rPr>
        <w:t>la composición actualizada de la GBON</w:t>
      </w:r>
      <w:r w:rsidR="00CF470F" w:rsidRPr="0070667D">
        <w:rPr>
          <w:lang w:val="es-ES"/>
        </w:rPr>
        <w:t xml:space="preserve"> que se presentará a la INFCOM</w:t>
      </w:r>
      <w:r w:rsidRPr="0070667D">
        <w:rPr>
          <w:lang w:val="es-ES"/>
        </w:rPr>
        <w:t xml:space="preserve">, el cual pone a disposición de todos los Miembros tres meses antes de la reunión de la </w:t>
      </w:r>
      <w:r w:rsidR="00067A50" w:rsidRPr="0070667D">
        <w:rPr>
          <w:lang w:val="es-ES"/>
        </w:rPr>
        <w:t>c</w:t>
      </w:r>
      <w:r w:rsidRPr="0070667D">
        <w:rPr>
          <w:lang w:val="es-ES"/>
        </w:rPr>
        <w:t>omisión.</w:t>
      </w:r>
    </w:p>
    <w:p w14:paraId="3820571D" w14:textId="79288BC6" w:rsidR="0003041B" w:rsidRPr="0070667D" w:rsidRDefault="00D776B6" w:rsidP="00D776B6">
      <w:pPr>
        <w:pStyle w:val="WMOBodyText"/>
        <w:rPr>
          <w:lang w:val="es-ES"/>
        </w:rPr>
      </w:pPr>
      <w:r w:rsidRPr="0070667D">
        <w:rPr>
          <w:lang w:val="es-ES"/>
        </w:rPr>
        <w:lastRenderedPageBreak/>
        <w:t xml:space="preserve">8. </w:t>
      </w:r>
      <w:r w:rsidRPr="0070667D">
        <w:rPr>
          <w:lang w:val="es-ES"/>
        </w:rPr>
        <w:tab/>
        <w:t xml:space="preserve">De acuerdo con los comentarios enviados por los Miembros, una versión final del proyecto de </w:t>
      </w:r>
      <w:r w:rsidR="00872114" w:rsidRPr="0070667D">
        <w:rPr>
          <w:lang w:val="es-ES"/>
        </w:rPr>
        <w:t>r</w:t>
      </w:r>
      <w:r w:rsidRPr="0070667D">
        <w:rPr>
          <w:lang w:val="es-ES"/>
        </w:rPr>
        <w:t xml:space="preserve">esolución sobre la composición de la GBON </w:t>
      </w:r>
      <w:r w:rsidR="00F20372" w:rsidRPr="0070667D">
        <w:rPr>
          <w:lang w:val="es-ES"/>
        </w:rPr>
        <w:t xml:space="preserve">se presenta a la INFCOM </w:t>
      </w:r>
      <w:r w:rsidRPr="0070667D">
        <w:rPr>
          <w:lang w:val="es-ES"/>
        </w:rPr>
        <w:t>para su aprobación.</w:t>
      </w:r>
    </w:p>
    <w:p w14:paraId="011B5B3A" w14:textId="0CD08F91" w:rsidR="00B01406" w:rsidRPr="0070667D" w:rsidRDefault="00B01406" w:rsidP="00B01406">
      <w:pPr>
        <w:spacing w:before="480"/>
        <w:jc w:val="center"/>
        <w:rPr>
          <w:lang w:val="es-ES"/>
        </w:rPr>
      </w:pPr>
      <w:r w:rsidRPr="0070667D">
        <w:rPr>
          <w:lang w:val="es-ES"/>
        </w:rPr>
        <w:t>___________</w:t>
      </w:r>
    </w:p>
    <w:p w14:paraId="11876324" w14:textId="77777777" w:rsidR="002204FD" w:rsidRPr="0070667D" w:rsidRDefault="002204FD">
      <w:pPr>
        <w:tabs>
          <w:tab w:val="clear" w:pos="1134"/>
        </w:tabs>
        <w:jc w:val="left"/>
        <w:rPr>
          <w:rFonts w:eastAsia="Verdana" w:cs="Verdana"/>
          <w:b/>
          <w:bCs/>
          <w:caps/>
          <w:kern w:val="32"/>
          <w:sz w:val="24"/>
          <w:szCs w:val="24"/>
          <w:lang w:val="es-ES" w:eastAsia="zh-TW"/>
        </w:rPr>
      </w:pPr>
      <w:r w:rsidRPr="0070667D">
        <w:rPr>
          <w:lang w:val="es-ES"/>
        </w:rPr>
        <w:br w:type="page"/>
      </w:r>
    </w:p>
    <w:p w14:paraId="01FA12C7" w14:textId="4BDF4F69" w:rsidR="00BB0D32" w:rsidRPr="0070667D" w:rsidRDefault="00514EAC" w:rsidP="002E56B8">
      <w:pPr>
        <w:pStyle w:val="Style1"/>
        <w:rPr>
          <w:lang w:val="es-ES"/>
        </w:rPr>
      </w:pPr>
      <w:bookmarkStart w:id="7" w:name="_Annex_to_draft_1"/>
      <w:bookmarkStart w:id="8" w:name="AnexoRecomendación"/>
      <w:bookmarkEnd w:id="7"/>
      <w:r w:rsidRPr="0070667D">
        <w:rPr>
          <w:lang w:val="es-ES"/>
        </w:rPr>
        <w:lastRenderedPageBreak/>
        <w:t>Anexo</w:t>
      </w:r>
      <w:bookmarkEnd w:id="8"/>
      <w:r w:rsidRPr="0070667D">
        <w:rPr>
          <w:lang w:val="es-ES"/>
        </w:rPr>
        <w:t xml:space="preserve"> </w:t>
      </w:r>
      <w:r w:rsidR="00D776B6" w:rsidRPr="0070667D">
        <w:rPr>
          <w:lang w:val="es-ES"/>
        </w:rPr>
        <w:t xml:space="preserve">2 </w:t>
      </w:r>
      <w:r w:rsidRPr="0070667D">
        <w:rPr>
          <w:lang w:val="es-ES"/>
        </w:rPr>
        <w:t xml:space="preserve">al proyecto de </w:t>
      </w:r>
      <w:r w:rsidR="00D776B6" w:rsidRPr="0070667D">
        <w:rPr>
          <w:lang w:val="es-ES"/>
        </w:rPr>
        <w:t>Resolución</w:t>
      </w:r>
      <w:r w:rsidRPr="0070667D">
        <w:rPr>
          <w:lang w:val="es-ES"/>
        </w:rPr>
        <w:t xml:space="preserve"> </w:t>
      </w:r>
      <w:r w:rsidR="00053B6C" w:rsidRPr="0070667D">
        <w:rPr>
          <w:lang w:val="es-ES"/>
        </w:rPr>
        <w:t>4.2(2)/1 (Cg-19)</w:t>
      </w:r>
    </w:p>
    <w:p w14:paraId="39B80399" w14:textId="2FCA7177" w:rsidR="00F71115" w:rsidRPr="0070667D" w:rsidRDefault="00F71115" w:rsidP="00F71115">
      <w:pPr>
        <w:pStyle w:val="Heading2"/>
        <w:rPr>
          <w:caps/>
          <w:lang w:val="es-ES"/>
        </w:rPr>
      </w:pPr>
      <w:r w:rsidRPr="0070667D">
        <w:rPr>
          <w:lang w:val="es-ES"/>
        </w:rPr>
        <w:t xml:space="preserve">Cambios </w:t>
      </w:r>
      <w:r w:rsidR="00441BD5" w:rsidRPr="0070667D">
        <w:rPr>
          <w:lang w:val="es-ES"/>
        </w:rPr>
        <w:t xml:space="preserve">efectuados por </w:t>
      </w:r>
      <w:r w:rsidRPr="0070667D">
        <w:rPr>
          <w:lang w:val="es-ES"/>
        </w:rPr>
        <w:t xml:space="preserve">el Congreso en la lista de </w:t>
      </w:r>
      <w:r w:rsidR="00833CD7" w:rsidRPr="0070667D">
        <w:rPr>
          <w:lang w:val="es-ES"/>
        </w:rPr>
        <w:t xml:space="preserve">las </w:t>
      </w:r>
      <w:r w:rsidRPr="0070667D">
        <w:rPr>
          <w:lang w:val="es-ES"/>
        </w:rPr>
        <w:t xml:space="preserve">estaciones de la </w:t>
      </w:r>
      <w:r w:rsidR="00CF44AE" w:rsidRPr="0070667D">
        <w:rPr>
          <w:lang w:val="es-ES"/>
        </w:rPr>
        <w:t xml:space="preserve">Red Mundial Básica de Observaciones </w:t>
      </w:r>
      <w:r w:rsidRPr="0070667D">
        <w:rPr>
          <w:lang w:val="es-ES"/>
        </w:rPr>
        <w:t xml:space="preserve">designadas según las recomendaciones </w:t>
      </w:r>
      <w:r w:rsidR="004876AA" w:rsidRPr="0070667D">
        <w:rPr>
          <w:lang w:val="es-ES"/>
        </w:rPr>
        <w:br/>
      </w:r>
      <w:r w:rsidRPr="0070667D">
        <w:rPr>
          <w:lang w:val="es-ES"/>
        </w:rPr>
        <w:t xml:space="preserve">del presidente de la </w:t>
      </w:r>
      <w:r w:rsidR="00145099" w:rsidRPr="0070667D">
        <w:rPr>
          <w:lang w:val="es-ES"/>
        </w:rPr>
        <w:t xml:space="preserve">Comisión de </w:t>
      </w:r>
      <w:r w:rsidRPr="0070667D">
        <w:rPr>
          <w:lang w:val="es-ES"/>
        </w:rPr>
        <w:t>I</w:t>
      </w:r>
      <w:r w:rsidR="00145099" w:rsidRPr="0070667D">
        <w:rPr>
          <w:lang w:val="es-ES"/>
        </w:rPr>
        <w:t xml:space="preserve">nfraestructura </w:t>
      </w:r>
      <w:r w:rsidRPr="0070667D">
        <w:rPr>
          <w:lang w:val="es-ES"/>
        </w:rPr>
        <w:t>y publicad</w:t>
      </w:r>
      <w:r w:rsidR="00145099" w:rsidRPr="0070667D">
        <w:rPr>
          <w:lang w:val="es-ES"/>
        </w:rPr>
        <w:t>a</w:t>
      </w:r>
      <w:r w:rsidRPr="0070667D">
        <w:rPr>
          <w:lang w:val="es-ES"/>
        </w:rPr>
        <w:t xml:space="preserve">s </w:t>
      </w:r>
      <w:r w:rsidR="004876AA" w:rsidRPr="0070667D">
        <w:rPr>
          <w:lang w:val="es-ES"/>
        </w:rPr>
        <w:br/>
      </w:r>
      <w:r w:rsidRPr="0070667D">
        <w:rPr>
          <w:lang w:val="es-ES"/>
        </w:rPr>
        <w:t xml:space="preserve">en la herramienta web de la </w:t>
      </w:r>
      <w:r w:rsidR="009B7B0A" w:rsidRPr="0070667D">
        <w:rPr>
          <w:lang w:val="es-ES"/>
        </w:rPr>
        <w:t xml:space="preserve">Red </w:t>
      </w:r>
      <w:r w:rsidRPr="0070667D">
        <w:rPr>
          <w:lang w:val="es-ES"/>
        </w:rPr>
        <w:t>a 30 de abril de 2023</w:t>
      </w:r>
    </w:p>
    <w:p w14:paraId="21418F05" w14:textId="3A94F689" w:rsidR="002707B4" w:rsidRPr="0070667D" w:rsidRDefault="002707B4" w:rsidP="002707B4">
      <w:pPr>
        <w:tabs>
          <w:tab w:val="clear" w:pos="1134"/>
        </w:tabs>
        <w:autoSpaceDE w:val="0"/>
        <w:autoSpaceDN w:val="0"/>
        <w:adjustRightInd w:val="0"/>
        <w:spacing w:after="120"/>
        <w:jc w:val="center"/>
        <w:rPr>
          <w:lang w:val="es-ES"/>
        </w:rPr>
      </w:pPr>
      <w:r w:rsidRPr="0070667D">
        <w:rPr>
          <w:lang w:val="es-ES"/>
        </w:rPr>
        <w:t>[La lista</w:t>
      </w:r>
      <w:r w:rsidR="002256AE" w:rsidRPr="0070667D">
        <w:rPr>
          <w:lang w:val="es-ES"/>
        </w:rPr>
        <w:t xml:space="preserve"> publicada a </w:t>
      </w:r>
      <w:r w:rsidRPr="0070667D">
        <w:rPr>
          <w:lang w:val="es-ES"/>
        </w:rPr>
        <w:t xml:space="preserve">30 de abril de 2023 también figura en </w:t>
      </w:r>
      <w:r w:rsidR="00B020E6" w:rsidRPr="0070667D">
        <w:rPr>
          <w:lang w:val="es-ES"/>
        </w:rPr>
        <w:t xml:space="preserve">el documento </w:t>
      </w:r>
      <w:hyperlink r:id="rId27" w:history="1">
        <w:r w:rsidRPr="0070667D">
          <w:rPr>
            <w:rStyle w:val="Hyperlink"/>
            <w:lang w:val="es-ES"/>
          </w:rPr>
          <w:t>Cg-19/INF. 4.2(2)</w:t>
        </w:r>
      </w:hyperlink>
      <w:r w:rsidRPr="0070667D">
        <w:rPr>
          <w:lang w:val="es-ES"/>
        </w:rPr>
        <w:t xml:space="preserve"> para facilitar su consulta]</w:t>
      </w:r>
    </w:p>
    <w:p w14:paraId="01C1DCDF" w14:textId="75CB5E1B" w:rsidR="00895012" w:rsidRPr="0070667D" w:rsidRDefault="00895012" w:rsidP="00895012">
      <w:pPr>
        <w:pStyle w:val="WMOBodyText"/>
        <w:spacing w:before="120"/>
        <w:rPr>
          <w:lang w:val="es-ES"/>
        </w:rPr>
      </w:pPr>
      <w:r w:rsidRPr="0070667D">
        <w:rPr>
          <w:lang w:val="es-ES"/>
        </w:rPr>
        <w:t xml:space="preserve">El Congreso </w:t>
      </w:r>
      <w:r w:rsidR="00B020E6" w:rsidRPr="0070667D">
        <w:rPr>
          <w:lang w:val="es-ES"/>
        </w:rPr>
        <w:t xml:space="preserve">Meteorológico Mundial </w:t>
      </w:r>
      <w:r w:rsidRPr="0070667D">
        <w:rPr>
          <w:lang w:val="es-ES"/>
        </w:rPr>
        <w:t xml:space="preserve">aprueba la lista de </w:t>
      </w:r>
      <w:r w:rsidR="00D37234" w:rsidRPr="0070667D">
        <w:rPr>
          <w:lang w:val="es-ES"/>
        </w:rPr>
        <w:t xml:space="preserve">las </w:t>
      </w:r>
      <w:r w:rsidRPr="0070667D">
        <w:rPr>
          <w:lang w:val="es-ES"/>
        </w:rPr>
        <w:t xml:space="preserve">estaciones </w:t>
      </w:r>
      <w:r w:rsidR="00B020E6" w:rsidRPr="0070667D">
        <w:rPr>
          <w:lang w:val="es-ES"/>
        </w:rPr>
        <w:t>y</w:t>
      </w:r>
      <w:r w:rsidRPr="0070667D">
        <w:rPr>
          <w:lang w:val="es-ES"/>
        </w:rPr>
        <w:t xml:space="preserve"> plataformas </w:t>
      </w:r>
      <w:r w:rsidR="00B020E6" w:rsidRPr="0070667D">
        <w:rPr>
          <w:lang w:val="es-ES"/>
        </w:rPr>
        <w:t>de la Red Mundial Básica de Observaciones (</w:t>
      </w:r>
      <w:r w:rsidRPr="0070667D">
        <w:rPr>
          <w:lang w:val="es-ES"/>
        </w:rPr>
        <w:t>GBON</w:t>
      </w:r>
      <w:r w:rsidR="00B020E6" w:rsidRPr="0070667D">
        <w:rPr>
          <w:lang w:val="es-ES"/>
        </w:rPr>
        <w:t>)</w:t>
      </w:r>
      <w:r w:rsidRPr="0070667D">
        <w:rPr>
          <w:lang w:val="es-ES"/>
        </w:rPr>
        <w:t xml:space="preserve"> registradas </w:t>
      </w:r>
      <w:r w:rsidR="00497CDF" w:rsidRPr="0070667D">
        <w:rPr>
          <w:lang w:val="es-ES"/>
        </w:rPr>
        <w:t xml:space="preserve">por los Miembros </w:t>
      </w:r>
      <w:r w:rsidRPr="0070667D">
        <w:rPr>
          <w:lang w:val="es-ES"/>
        </w:rPr>
        <w:t xml:space="preserve">con el estado </w:t>
      </w:r>
      <w:r w:rsidR="00B020E6" w:rsidRPr="0070667D">
        <w:rPr>
          <w:lang w:val="es-ES"/>
        </w:rPr>
        <w:t>“Pending Approval” (</w:t>
      </w:r>
      <w:r w:rsidRPr="0070667D">
        <w:rPr>
          <w:lang w:val="es-ES"/>
        </w:rPr>
        <w:t>Pendiente de aprobación</w:t>
      </w:r>
      <w:r w:rsidR="00B020E6" w:rsidRPr="0070667D">
        <w:rPr>
          <w:lang w:val="es-ES"/>
        </w:rPr>
        <w:t>)</w:t>
      </w:r>
      <w:r w:rsidRPr="0070667D">
        <w:rPr>
          <w:lang w:val="es-ES"/>
        </w:rPr>
        <w:t xml:space="preserve"> en</w:t>
      </w:r>
      <w:r w:rsidR="0086565E" w:rsidRPr="0070667D">
        <w:rPr>
          <w:lang w:val="es-ES"/>
        </w:rPr>
        <w:t xml:space="preserve"> la Herramienta de Análisis y Examen de la Capacidad de los Sistemas de Observación en Superficie</w:t>
      </w:r>
      <w:r w:rsidRPr="0070667D">
        <w:rPr>
          <w:lang w:val="es-ES"/>
        </w:rPr>
        <w:t xml:space="preserve"> </w:t>
      </w:r>
      <w:r w:rsidR="0086565E" w:rsidRPr="0070667D">
        <w:rPr>
          <w:lang w:val="es-ES"/>
        </w:rPr>
        <w:t>(</w:t>
      </w:r>
      <w:r w:rsidRPr="0070667D">
        <w:rPr>
          <w:lang w:val="es-ES"/>
        </w:rPr>
        <w:t>OSCAR/Superficie</w:t>
      </w:r>
      <w:r w:rsidR="0086565E" w:rsidRPr="0070667D">
        <w:rPr>
          <w:lang w:val="es-ES"/>
        </w:rPr>
        <w:t>)</w:t>
      </w:r>
      <w:r w:rsidRPr="0070667D">
        <w:rPr>
          <w:lang w:val="es-ES"/>
        </w:rPr>
        <w:t xml:space="preserve"> a 30 de abril de 2023</w:t>
      </w:r>
      <w:r w:rsidR="00497CDF" w:rsidRPr="0070667D">
        <w:rPr>
          <w:lang w:val="es-ES"/>
        </w:rPr>
        <w:t>,</w:t>
      </w:r>
      <w:r w:rsidRPr="0070667D">
        <w:rPr>
          <w:lang w:val="es-ES"/>
        </w:rPr>
        <w:t xml:space="preserve"> con los cambios que se recogen en </w:t>
      </w:r>
      <w:r w:rsidR="009635FE" w:rsidRPr="0070667D">
        <w:rPr>
          <w:lang w:val="es-ES"/>
        </w:rPr>
        <w:t xml:space="preserve">los cuadros </w:t>
      </w:r>
      <w:r w:rsidRPr="0070667D">
        <w:rPr>
          <w:lang w:val="es-ES"/>
        </w:rPr>
        <w:t>1 y 2 a continuación</w:t>
      </w:r>
      <w:r w:rsidR="009635FE" w:rsidRPr="0070667D">
        <w:rPr>
          <w:lang w:val="es-ES"/>
        </w:rPr>
        <w:t>,</w:t>
      </w:r>
      <w:r w:rsidRPr="0070667D">
        <w:rPr>
          <w:lang w:val="es-ES"/>
        </w:rPr>
        <w:t xml:space="preserve"> correspondientes a las estaciones terrestres de observación en superficie y </w:t>
      </w:r>
      <w:r w:rsidR="00121C23" w:rsidRPr="0070667D">
        <w:rPr>
          <w:lang w:val="es-ES"/>
        </w:rPr>
        <w:t xml:space="preserve">a </w:t>
      </w:r>
      <w:r w:rsidRPr="0070667D">
        <w:rPr>
          <w:lang w:val="es-ES"/>
        </w:rPr>
        <w:t>las estaciones de observación en altitud, respectivamente.</w:t>
      </w:r>
    </w:p>
    <w:p w14:paraId="0542FBF5" w14:textId="0CF3FA28" w:rsidR="00895012" w:rsidRPr="0070667D" w:rsidRDefault="00121C23" w:rsidP="00895012">
      <w:pPr>
        <w:pStyle w:val="WMOBodyText"/>
        <w:spacing w:after="120"/>
        <w:rPr>
          <w:lang w:val="es-ES"/>
        </w:rPr>
      </w:pPr>
      <w:r w:rsidRPr="0070667D">
        <w:rPr>
          <w:b/>
          <w:bCs/>
          <w:lang w:val="es-ES"/>
        </w:rPr>
        <w:t xml:space="preserve">Cuadro </w:t>
      </w:r>
      <w:r w:rsidR="00895012" w:rsidRPr="0070667D">
        <w:rPr>
          <w:b/>
          <w:bCs/>
          <w:lang w:val="es-ES"/>
        </w:rPr>
        <w:t xml:space="preserve">1: </w:t>
      </w:r>
      <w:r w:rsidR="00895012" w:rsidRPr="0070667D">
        <w:rPr>
          <w:lang w:val="es-ES"/>
        </w:rPr>
        <w:t xml:space="preserve">Cambios en la lista de </w:t>
      </w:r>
      <w:r w:rsidRPr="0070667D">
        <w:rPr>
          <w:lang w:val="es-ES"/>
        </w:rPr>
        <w:t xml:space="preserve">las </w:t>
      </w:r>
      <w:r w:rsidR="00895012" w:rsidRPr="0070667D">
        <w:rPr>
          <w:lang w:val="es-ES"/>
        </w:rPr>
        <w:t>estaciones terrestres de observación de superficie de la GBON [se completará durante el Congreso].</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1600"/>
        <w:gridCol w:w="1701"/>
        <w:gridCol w:w="1417"/>
        <w:gridCol w:w="1134"/>
        <w:gridCol w:w="1276"/>
        <w:gridCol w:w="1417"/>
      </w:tblGrid>
      <w:tr w:rsidR="00A0399F" w:rsidRPr="0070667D" w14:paraId="510B7E00" w14:textId="77777777" w:rsidTr="008067DF">
        <w:trPr>
          <w:cantSplit/>
          <w:trHeight w:val="300"/>
          <w:tblHeader/>
        </w:trPr>
        <w:tc>
          <w:tcPr>
            <w:tcW w:w="1656" w:type="dxa"/>
            <w:shd w:val="clear" w:color="auto" w:fill="FDE9D9" w:themeFill="accent6" w:themeFillTint="33"/>
            <w:noWrap/>
            <w:vAlign w:val="bottom"/>
            <w:hideMark/>
          </w:tcPr>
          <w:p w14:paraId="4A4CB16E" w14:textId="240FBE5E"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 xml:space="preserve">Miembro o </w:t>
            </w:r>
            <w:r w:rsidR="00121C23" w:rsidRPr="0070667D">
              <w:rPr>
                <w:b/>
                <w:bCs/>
                <w:i/>
                <w:iCs/>
                <w:sz w:val="18"/>
                <w:szCs w:val="18"/>
                <w:lang w:val="es-ES"/>
              </w:rPr>
              <w:t>T</w:t>
            </w:r>
            <w:r w:rsidRPr="0070667D">
              <w:rPr>
                <w:b/>
                <w:bCs/>
                <w:i/>
                <w:iCs/>
                <w:sz w:val="18"/>
                <w:szCs w:val="18"/>
                <w:lang w:val="es-ES"/>
              </w:rPr>
              <w:t>erritorio de</w:t>
            </w:r>
            <w:r w:rsidR="00335E1B">
              <w:rPr>
                <w:b/>
                <w:bCs/>
                <w:i/>
                <w:iCs/>
                <w:sz w:val="18"/>
                <w:szCs w:val="18"/>
                <w:lang w:val="en-CH"/>
              </w:rPr>
              <w:t> </w:t>
            </w:r>
            <w:r w:rsidRPr="0070667D">
              <w:rPr>
                <w:b/>
                <w:bCs/>
                <w:i/>
                <w:iCs/>
                <w:sz w:val="18"/>
                <w:szCs w:val="18"/>
                <w:lang w:val="es-ES"/>
              </w:rPr>
              <w:t>la OMM</w:t>
            </w:r>
          </w:p>
        </w:tc>
        <w:tc>
          <w:tcPr>
            <w:tcW w:w="1600" w:type="dxa"/>
            <w:shd w:val="clear" w:color="auto" w:fill="FDE9D9" w:themeFill="accent6" w:themeFillTint="33"/>
            <w:noWrap/>
            <w:vAlign w:val="bottom"/>
            <w:hideMark/>
          </w:tcPr>
          <w:p w14:paraId="7B3F9755" w14:textId="0B06EE93"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 xml:space="preserve">Nombre </w:t>
            </w:r>
            <w:r w:rsidR="00335E1B">
              <w:rPr>
                <w:b/>
                <w:bCs/>
                <w:i/>
                <w:iCs/>
                <w:sz w:val="18"/>
                <w:szCs w:val="18"/>
                <w:lang w:val="es-ES"/>
              </w:rPr>
              <w:br/>
            </w:r>
            <w:r w:rsidRPr="0070667D">
              <w:rPr>
                <w:b/>
                <w:bCs/>
                <w:i/>
                <w:iCs/>
                <w:sz w:val="18"/>
                <w:szCs w:val="18"/>
                <w:lang w:val="es-ES"/>
              </w:rPr>
              <w:t>de la estación</w:t>
            </w:r>
          </w:p>
        </w:tc>
        <w:tc>
          <w:tcPr>
            <w:tcW w:w="1701" w:type="dxa"/>
            <w:shd w:val="clear" w:color="auto" w:fill="FDE9D9" w:themeFill="accent6" w:themeFillTint="33"/>
            <w:noWrap/>
            <w:vAlign w:val="bottom"/>
            <w:hideMark/>
          </w:tcPr>
          <w:p w14:paraId="519D97EE" w14:textId="77777777"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Identificador del WIGOS</w:t>
            </w:r>
          </w:p>
        </w:tc>
        <w:tc>
          <w:tcPr>
            <w:tcW w:w="1417" w:type="dxa"/>
            <w:shd w:val="clear" w:color="auto" w:fill="FDE9D9" w:themeFill="accent6" w:themeFillTint="33"/>
            <w:noWrap/>
            <w:vAlign w:val="bottom"/>
            <w:hideMark/>
          </w:tcPr>
          <w:p w14:paraId="25DA6FA3" w14:textId="77777777"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Clase de estación</w:t>
            </w:r>
          </w:p>
        </w:tc>
        <w:tc>
          <w:tcPr>
            <w:tcW w:w="1134" w:type="dxa"/>
            <w:shd w:val="clear" w:color="auto" w:fill="FDE9D9" w:themeFill="accent6" w:themeFillTint="33"/>
            <w:noWrap/>
            <w:vAlign w:val="bottom"/>
            <w:hideMark/>
          </w:tcPr>
          <w:p w14:paraId="47F98274" w14:textId="77777777"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Latitud</w:t>
            </w:r>
          </w:p>
        </w:tc>
        <w:tc>
          <w:tcPr>
            <w:tcW w:w="1276" w:type="dxa"/>
            <w:shd w:val="clear" w:color="auto" w:fill="FDE9D9" w:themeFill="accent6" w:themeFillTint="33"/>
            <w:noWrap/>
            <w:vAlign w:val="bottom"/>
            <w:hideMark/>
          </w:tcPr>
          <w:p w14:paraId="4A0E657F" w14:textId="77777777"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Longitud</w:t>
            </w:r>
          </w:p>
        </w:tc>
        <w:tc>
          <w:tcPr>
            <w:tcW w:w="1417" w:type="dxa"/>
            <w:shd w:val="clear" w:color="auto" w:fill="FDE9D9" w:themeFill="accent6" w:themeFillTint="33"/>
          </w:tcPr>
          <w:p w14:paraId="25588C4F" w14:textId="79AAA95B"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 xml:space="preserve">Cambio (añadir, actualizar, </w:t>
            </w:r>
            <w:r w:rsidR="00D33033" w:rsidRPr="0070667D">
              <w:rPr>
                <w:b/>
                <w:bCs/>
                <w:i/>
                <w:iCs/>
                <w:sz w:val="18"/>
                <w:szCs w:val="18"/>
                <w:lang w:val="es-ES"/>
              </w:rPr>
              <w:t>suprimir</w:t>
            </w:r>
            <w:r w:rsidRPr="0070667D">
              <w:rPr>
                <w:b/>
                <w:bCs/>
                <w:i/>
                <w:iCs/>
                <w:sz w:val="18"/>
                <w:szCs w:val="18"/>
                <w:lang w:val="es-ES"/>
              </w:rPr>
              <w:t>)</w:t>
            </w:r>
          </w:p>
        </w:tc>
      </w:tr>
      <w:tr w:rsidR="00A0399F" w:rsidRPr="0070667D" w14:paraId="4DB8212C" w14:textId="77777777" w:rsidTr="008067DF">
        <w:trPr>
          <w:trHeight w:val="300"/>
        </w:trPr>
        <w:tc>
          <w:tcPr>
            <w:tcW w:w="1656" w:type="dxa"/>
            <w:shd w:val="clear" w:color="auto" w:fill="auto"/>
            <w:noWrap/>
            <w:vAlign w:val="bottom"/>
          </w:tcPr>
          <w:p w14:paraId="40EDB4E5"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7A41886F"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3F1C02F6"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30AA5BEE"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129574A8"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0AA9178B"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13F8E00D"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2B62B997" w14:textId="77777777" w:rsidTr="008067DF">
        <w:trPr>
          <w:trHeight w:val="300"/>
        </w:trPr>
        <w:tc>
          <w:tcPr>
            <w:tcW w:w="1656" w:type="dxa"/>
            <w:shd w:val="clear" w:color="auto" w:fill="auto"/>
            <w:noWrap/>
            <w:vAlign w:val="bottom"/>
          </w:tcPr>
          <w:p w14:paraId="2BDD75A5"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69F6FA8E"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42F6FB98"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181EC02D"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6EBF3C89"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39824AD5"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567D98FB"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790878B0" w14:textId="77777777" w:rsidTr="008067DF">
        <w:trPr>
          <w:trHeight w:val="300"/>
        </w:trPr>
        <w:tc>
          <w:tcPr>
            <w:tcW w:w="1656" w:type="dxa"/>
            <w:shd w:val="clear" w:color="auto" w:fill="auto"/>
            <w:noWrap/>
            <w:vAlign w:val="bottom"/>
          </w:tcPr>
          <w:p w14:paraId="0576989F"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31C9B92B"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22D1834F"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5AA73BA0"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5CA73F5E"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1736D59D"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2DADA10F"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64BAC6D8" w14:textId="77777777" w:rsidTr="008067DF">
        <w:trPr>
          <w:trHeight w:val="300"/>
        </w:trPr>
        <w:tc>
          <w:tcPr>
            <w:tcW w:w="1656" w:type="dxa"/>
            <w:shd w:val="clear" w:color="auto" w:fill="auto"/>
            <w:noWrap/>
            <w:vAlign w:val="bottom"/>
          </w:tcPr>
          <w:p w14:paraId="550AF9A3"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2117CC3E"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29031AD3"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7728E23F"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767C83AB"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21D42FD5"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643BC9D4"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2425D70A" w14:textId="77777777" w:rsidTr="008067DF">
        <w:trPr>
          <w:trHeight w:val="300"/>
        </w:trPr>
        <w:tc>
          <w:tcPr>
            <w:tcW w:w="1656" w:type="dxa"/>
            <w:shd w:val="clear" w:color="auto" w:fill="auto"/>
            <w:noWrap/>
            <w:vAlign w:val="bottom"/>
          </w:tcPr>
          <w:p w14:paraId="6C6B3DD5"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69300DC3"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738CD591"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7CEA12CF"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3AE08836"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52D64094"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00785A1E"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287CF5F3" w14:textId="77777777" w:rsidTr="008067DF">
        <w:trPr>
          <w:trHeight w:val="300"/>
        </w:trPr>
        <w:tc>
          <w:tcPr>
            <w:tcW w:w="1656" w:type="dxa"/>
            <w:shd w:val="clear" w:color="auto" w:fill="auto"/>
            <w:noWrap/>
            <w:vAlign w:val="bottom"/>
          </w:tcPr>
          <w:p w14:paraId="5AB75F91"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47DA2736"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171F2992"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218A8F8C"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5BB1A89A"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499E055F"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4E40D6CB"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7A1786C1" w14:textId="77777777" w:rsidTr="008067DF">
        <w:trPr>
          <w:trHeight w:val="300"/>
        </w:trPr>
        <w:tc>
          <w:tcPr>
            <w:tcW w:w="1656" w:type="dxa"/>
            <w:shd w:val="clear" w:color="auto" w:fill="auto"/>
            <w:noWrap/>
            <w:vAlign w:val="bottom"/>
          </w:tcPr>
          <w:p w14:paraId="5CF43AB3"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207CD38C"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6FCC78A0"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123C7901"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34FADDFA"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172285A8"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226E3C99"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1DFAAA51" w14:textId="77777777" w:rsidTr="008067DF">
        <w:trPr>
          <w:trHeight w:val="300"/>
        </w:trPr>
        <w:tc>
          <w:tcPr>
            <w:tcW w:w="1656" w:type="dxa"/>
            <w:shd w:val="clear" w:color="auto" w:fill="auto"/>
            <w:noWrap/>
            <w:vAlign w:val="bottom"/>
          </w:tcPr>
          <w:p w14:paraId="73999DC2"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67462139"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08756A64"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1B7F3A46"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7AEB4EE4"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303E7B43"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680B8BAF"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bl>
    <w:p w14:paraId="3464B4ED" w14:textId="453F30F9" w:rsidR="00A0399F" w:rsidRPr="0070667D" w:rsidRDefault="00D33033" w:rsidP="00A0399F">
      <w:pPr>
        <w:pStyle w:val="WMOBodyText"/>
        <w:spacing w:after="120"/>
        <w:rPr>
          <w:lang w:val="es-ES"/>
        </w:rPr>
      </w:pPr>
      <w:r w:rsidRPr="0070667D">
        <w:rPr>
          <w:b/>
          <w:bCs/>
          <w:lang w:val="es-ES"/>
        </w:rPr>
        <w:t>Cuadro</w:t>
      </w:r>
      <w:r w:rsidR="00A0399F" w:rsidRPr="0070667D">
        <w:rPr>
          <w:b/>
          <w:bCs/>
          <w:lang w:val="es-ES"/>
        </w:rPr>
        <w:t xml:space="preserve"> 2:</w:t>
      </w:r>
      <w:r w:rsidR="00A0399F" w:rsidRPr="0070667D">
        <w:rPr>
          <w:lang w:val="es-ES"/>
        </w:rPr>
        <w:t xml:space="preserve"> Cambios en la lista de </w:t>
      </w:r>
      <w:r w:rsidRPr="0070667D">
        <w:rPr>
          <w:lang w:val="es-ES"/>
        </w:rPr>
        <w:t xml:space="preserve">las </w:t>
      </w:r>
      <w:r w:rsidR="00A0399F" w:rsidRPr="0070667D">
        <w:rPr>
          <w:lang w:val="es-ES"/>
        </w:rPr>
        <w:t>estaciones de observación en altitud de la GBON [se completará durante el Congreso].</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1600"/>
        <w:gridCol w:w="1701"/>
        <w:gridCol w:w="1417"/>
        <w:gridCol w:w="1134"/>
        <w:gridCol w:w="1276"/>
        <w:gridCol w:w="1417"/>
      </w:tblGrid>
      <w:tr w:rsidR="00A0399F" w:rsidRPr="0070667D" w14:paraId="089A3CD5" w14:textId="77777777" w:rsidTr="00B54B3D">
        <w:trPr>
          <w:cantSplit/>
          <w:trHeight w:val="300"/>
          <w:tblHeader/>
        </w:trPr>
        <w:tc>
          <w:tcPr>
            <w:tcW w:w="1656" w:type="dxa"/>
            <w:shd w:val="clear" w:color="auto" w:fill="FDE9D9" w:themeFill="accent6" w:themeFillTint="33"/>
            <w:noWrap/>
            <w:vAlign w:val="bottom"/>
            <w:hideMark/>
          </w:tcPr>
          <w:p w14:paraId="167DB73A" w14:textId="756F8657"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 xml:space="preserve">Miembro o </w:t>
            </w:r>
            <w:r w:rsidR="00D33033" w:rsidRPr="0070667D">
              <w:rPr>
                <w:b/>
                <w:bCs/>
                <w:i/>
                <w:iCs/>
                <w:sz w:val="18"/>
                <w:szCs w:val="18"/>
                <w:lang w:val="es-ES"/>
              </w:rPr>
              <w:t>T</w:t>
            </w:r>
            <w:r w:rsidRPr="0070667D">
              <w:rPr>
                <w:b/>
                <w:bCs/>
                <w:i/>
                <w:iCs/>
                <w:sz w:val="18"/>
                <w:szCs w:val="18"/>
                <w:lang w:val="es-ES"/>
              </w:rPr>
              <w:t>erritorio de</w:t>
            </w:r>
            <w:r w:rsidR="00335E1B">
              <w:rPr>
                <w:b/>
                <w:bCs/>
                <w:i/>
                <w:iCs/>
                <w:sz w:val="18"/>
                <w:szCs w:val="18"/>
                <w:lang w:val="en-CH"/>
              </w:rPr>
              <w:t> </w:t>
            </w:r>
            <w:r w:rsidRPr="0070667D">
              <w:rPr>
                <w:b/>
                <w:bCs/>
                <w:i/>
                <w:iCs/>
                <w:sz w:val="18"/>
                <w:szCs w:val="18"/>
                <w:lang w:val="es-ES"/>
              </w:rPr>
              <w:t>la OMM</w:t>
            </w:r>
          </w:p>
        </w:tc>
        <w:tc>
          <w:tcPr>
            <w:tcW w:w="1600" w:type="dxa"/>
            <w:shd w:val="clear" w:color="auto" w:fill="FDE9D9" w:themeFill="accent6" w:themeFillTint="33"/>
            <w:noWrap/>
            <w:vAlign w:val="bottom"/>
            <w:hideMark/>
          </w:tcPr>
          <w:p w14:paraId="6FEAD85A" w14:textId="5281AD78"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 xml:space="preserve">Nombre </w:t>
            </w:r>
            <w:r w:rsidR="00335E1B">
              <w:rPr>
                <w:b/>
                <w:bCs/>
                <w:i/>
                <w:iCs/>
                <w:sz w:val="18"/>
                <w:szCs w:val="18"/>
                <w:lang w:val="es-ES"/>
              </w:rPr>
              <w:br/>
            </w:r>
            <w:r w:rsidRPr="0070667D">
              <w:rPr>
                <w:b/>
                <w:bCs/>
                <w:i/>
                <w:iCs/>
                <w:sz w:val="18"/>
                <w:szCs w:val="18"/>
                <w:lang w:val="es-ES"/>
              </w:rPr>
              <w:t>de la estación</w:t>
            </w:r>
          </w:p>
        </w:tc>
        <w:tc>
          <w:tcPr>
            <w:tcW w:w="1701" w:type="dxa"/>
            <w:shd w:val="clear" w:color="auto" w:fill="FDE9D9" w:themeFill="accent6" w:themeFillTint="33"/>
            <w:noWrap/>
            <w:vAlign w:val="bottom"/>
            <w:hideMark/>
          </w:tcPr>
          <w:p w14:paraId="1F7ADBF3" w14:textId="77777777"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Identificador del WIGOS</w:t>
            </w:r>
          </w:p>
        </w:tc>
        <w:tc>
          <w:tcPr>
            <w:tcW w:w="1417" w:type="dxa"/>
            <w:shd w:val="clear" w:color="auto" w:fill="FDE9D9" w:themeFill="accent6" w:themeFillTint="33"/>
            <w:noWrap/>
            <w:vAlign w:val="bottom"/>
            <w:hideMark/>
          </w:tcPr>
          <w:p w14:paraId="4754B871" w14:textId="77777777"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Clase de estación</w:t>
            </w:r>
          </w:p>
        </w:tc>
        <w:tc>
          <w:tcPr>
            <w:tcW w:w="1134" w:type="dxa"/>
            <w:shd w:val="clear" w:color="auto" w:fill="FDE9D9" w:themeFill="accent6" w:themeFillTint="33"/>
            <w:noWrap/>
            <w:vAlign w:val="bottom"/>
            <w:hideMark/>
          </w:tcPr>
          <w:p w14:paraId="1834A59D" w14:textId="77777777"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Latitud</w:t>
            </w:r>
          </w:p>
        </w:tc>
        <w:tc>
          <w:tcPr>
            <w:tcW w:w="1276" w:type="dxa"/>
            <w:shd w:val="clear" w:color="auto" w:fill="FDE9D9" w:themeFill="accent6" w:themeFillTint="33"/>
            <w:noWrap/>
            <w:vAlign w:val="bottom"/>
            <w:hideMark/>
          </w:tcPr>
          <w:p w14:paraId="36C2345A" w14:textId="77777777"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Longitud</w:t>
            </w:r>
          </w:p>
        </w:tc>
        <w:tc>
          <w:tcPr>
            <w:tcW w:w="1417" w:type="dxa"/>
            <w:shd w:val="clear" w:color="auto" w:fill="FDE9D9" w:themeFill="accent6" w:themeFillTint="33"/>
          </w:tcPr>
          <w:p w14:paraId="535F4300" w14:textId="527837EF" w:rsidR="00A0399F" w:rsidRPr="0070667D" w:rsidRDefault="00A0399F" w:rsidP="00800ACD">
            <w:pPr>
              <w:tabs>
                <w:tab w:val="clear" w:pos="1134"/>
              </w:tabs>
              <w:spacing w:before="120"/>
              <w:jc w:val="left"/>
              <w:rPr>
                <w:rFonts w:eastAsia="Times New Roman" w:cs="Calibri"/>
                <w:b/>
                <w:bCs/>
                <w:i/>
                <w:iCs/>
                <w:color w:val="000000"/>
                <w:sz w:val="18"/>
                <w:szCs w:val="18"/>
                <w:lang w:val="es-ES"/>
              </w:rPr>
            </w:pPr>
            <w:r w:rsidRPr="0070667D">
              <w:rPr>
                <w:b/>
                <w:bCs/>
                <w:i/>
                <w:iCs/>
                <w:sz w:val="18"/>
                <w:szCs w:val="18"/>
                <w:lang w:val="es-ES"/>
              </w:rPr>
              <w:t xml:space="preserve">Cambio (añadir, actualizar, </w:t>
            </w:r>
            <w:r w:rsidR="00D33033" w:rsidRPr="0070667D">
              <w:rPr>
                <w:b/>
                <w:bCs/>
                <w:i/>
                <w:iCs/>
                <w:sz w:val="18"/>
                <w:szCs w:val="18"/>
                <w:lang w:val="es-ES"/>
              </w:rPr>
              <w:t>suprimir</w:t>
            </w:r>
            <w:r w:rsidRPr="0070667D">
              <w:rPr>
                <w:b/>
                <w:bCs/>
                <w:i/>
                <w:iCs/>
                <w:sz w:val="18"/>
                <w:szCs w:val="18"/>
                <w:lang w:val="es-ES"/>
              </w:rPr>
              <w:t>)</w:t>
            </w:r>
          </w:p>
        </w:tc>
      </w:tr>
      <w:tr w:rsidR="00A0399F" w:rsidRPr="0070667D" w14:paraId="3179FBAA" w14:textId="77777777" w:rsidTr="00B54B3D">
        <w:trPr>
          <w:trHeight w:val="300"/>
        </w:trPr>
        <w:tc>
          <w:tcPr>
            <w:tcW w:w="1656" w:type="dxa"/>
            <w:shd w:val="clear" w:color="auto" w:fill="auto"/>
            <w:noWrap/>
            <w:vAlign w:val="bottom"/>
          </w:tcPr>
          <w:p w14:paraId="201C6516"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7C5ECF2F"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5C3F483E"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02C34A45"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1904E115"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6B3B95F4"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67F4B2BD"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7BB0BA6D" w14:textId="77777777" w:rsidTr="00B54B3D">
        <w:trPr>
          <w:trHeight w:val="300"/>
        </w:trPr>
        <w:tc>
          <w:tcPr>
            <w:tcW w:w="1656" w:type="dxa"/>
            <w:shd w:val="clear" w:color="auto" w:fill="auto"/>
            <w:noWrap/>
            <w:vAlign w:val="bottom"/>
          </w:tcPr>
          <w:p w14:paraId="2FB87E07"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53C7A124"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2C7DD0AC"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71BB3438"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35CF2B1A"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67B54781"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30850F82"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2BE48FEA" w14:textId="77777777" w:rsidTr="00B54B3D">
        <w:trPr>
          <w:trHeight w:val="300"/>
        </w:trPr>
        <w:tc>
          <w:tcPr>
            <w:tcW w:w="1656" w:type="dxa"/>
            <w:shd w:val="clear" w:color="auto" w:fill="auto"/>
            <w:noWrap/>
            <w:vAlign w:val="bottom"/>
          </w:tcPr>
          <w:p w14:paraId="45ECDD63"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2AF5E71F"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36B06708"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286D5E6C"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06CC17C6"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5EB8C5CB"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7188E5CB"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2D45D4B8" w14:textId="77777777" w:rsidTr="00B54B3D">
        <w:trPr>
          <w:trHeight w:val="300"/>
        </w:trPr>
        <w:tc>
          <w:tcPr>
            <w:tcW w:w="1656" w:type="dxa"/>
            <w:shd w:val="clear" w:color="auto" w:fill="auto"/>
            <w:noWrap/>
            <w:vAlign w:val="bottom"/>
          </w:tcPr>
          <w:p w14:paraId="7A71BE86"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78A7158F"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3CF30AF5"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52F82428"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148FF37E"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717CDDE5"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5E599213"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1AC009DF" w14:textId="77777777" w:rsidTr="00B54B3D">
        <w:trPr>
          <w:trHeight w:val="300"/>
        </w:trPr>
        <w:tc>
          <w:tcPr>
            <w:tcW w:w="1656" w:type="dxa"/>
            <w:shd w:val="clear" w:color="auto" w:fill="auto"/>
            <w:noWrap/>
            <w:vAlign w:val="bottom"/>
          </w:tcPr>
          <w:p w14:paraId="6AFE6D4F"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3DB46111"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4BFC9C45"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3503EDC4"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72C544DA"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14EF586F"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3D2049E7"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42FF810D" w14:textId="77777777" w:rsidTr="00B54B3D">
        <w:trPr>
          <w:trHeight w:val="300"/>
        </w:trPr>
        <w:tc>
          <w:tcPr>
            <w:tcW w:w="1656" w:type="dxa"/>
            <w:shd w:val="clear" w:color="auto" w:fill="auto"/>
            <w:noWrap/>
            <w:vAlign w:val="bottom"/>
          </w:tcPr>
          <w:p w14:paraId="54477984"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550D9E0F"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06758EE1"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66F6F0A7"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2A7B293C"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51E9B238"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0D66FCDE"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10770ED7" w14:textId="77777777" w:rsidTr="00B54B3D">
        <w:trPr>
          <w:trHeight w:val="300"/>
        </w:trPr>
        <w:tc>
          <w:tcPr>
            <w:tcW w:w="1656" w:type="dxa"/>
            <w:shd w:val="clear" w:color="auto" w:fill="auto"/>
            <w:noWrap/>
            <w:vAlign w:val="bottom"/>
          </w:tcPr>
          <w:p w14:paraId="5F06B699"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1F97F47C"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238AF7EA"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25558EB2"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5E500F77"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406E290A"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5D29322F"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r w:rsidR="00A0399F" w:rsidRPr="0070667D" w14:paraId="346AD75D" w14:textId="77777777" w:rsidTr="00B54B3D">
        <w:trPr>
          <w:trHeight w:val="300"/>
        </w:trPr>
        <w:tc>
          <w:tcPr>
            <w:tcW w:w="1656" w:type="dxa"/>
            <w:shd w:val="clear" w:color="auto" w:fill="auto"/>
            <w:noWrap/>
            <w:vAlign w:val="bottom"/>
          </w:tcPr>
          <w:p w14:paraId="428118CF"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600" w:type="dxa"/>
            <w:shd w:val="clear" w:color="auto" w:fill="auto"/>
            <w:noWrap/>
            <w:vAlign w:val="bottom"/>
          </w:tcPr>
          <w:p w14:paraId="6DA19AB5"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701" w:type="dxa"/>
            <w:shd w:val="clear" w:color="auto" w:fill="auto"/>
            <w:noWrap/>
            <w:vAlign w:val="bottom"/>
          </w:tcPr>
          <w:p w14:paraId="6BB905F7"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417" w:type="dxa"/>
            <w:shd w:val="clear" w:color="auto" w:fill="auto"/>
            <w:noWrap/>
            <w:vAlign w:val="bottom"/>
          </w:tcPr>
          <w:p w14:paraId="3426CA72" w14:textId="77777777" w:rsidR="00A0399F" w:rsidRPr="0070667D" w:rsidRDefault="00A0399F" w:rsidP="00800ACD">
            <w:pPr>
              <w:tabs>
                <w:tab w:val="clear" w:pos="1134"/>
              </w:tabs>
              <w:spacing w:before="120"/>
              <w:jc w:val="left"/>
              <w:rPr>
                <w:rFonts w:eastAsia="Times New Roman" w:cs="Calibri"/>
                <w:color w:val="000000"/>
                <w:sz w:val="18"/>
                <w:szCs w:val="18"/>
                <w:lang w:val="es-ES"/>
              </w:rPr>
            </w:pPr>
          </w:p>
        </w:tc>
        <w:tc>
          <w:tcPr>
            <w:tcW w:w="1134" w:type="dxa"/>
            <w:shd w:val="clear" w:color="auto" w:fill="auto"/>
            <w:noWrap/>
            <w:vAlign w:val="bottom"/>
          </w:tcPr>
          <w:p w14:paraId="4F3138AD"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276" w:type="dxa"/>
            <w:shd w:val="clear" w:color="auto" w:fill="auto"/>
            <w:noWrap/>
            <w:vAlign w:val="bottom"/>
          </w:tcPr>
          <w:p w14:paraId="2E5826B5"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c>
          <w:tcPr>
            <w:tcW w:w="1417" w:type="dxa"/>
          </w:tcPr>
          <w:p w14:paraId="06D1A9C6" w14:textId="77777777" w:rsidR="00A0399F" w:rsidRPr="0070667D" w:rsidRDefault="00A0399F" w:rsidP="00800ACD">
            <w:pPr>
              <w:tabs>
                <w:tab w:val="clear" w:pos="1134"/>
              </w:tabs>
              <w:spacing w:before="120"/>
              <w:jc w:val="right"/>
              <w:rPr>
                <w:rFonts w:eastAsia="Times New Roman" w:cs="Calibri"/>
                <w:color w:val="000000"/>
                <w:sz w:val="18"/>
                <w:szCs w:val="18"/>
                <w:lang w:val="es-ES"/>
              </w:rPr>
            </w:pPr>
          </w:p>
        </w:tc>
      </w:tr>
    </w:tbl>
    <w:p w14:paraId="0AB36969" w14:textId="3750778D" w:rsidR="00B01406" w:rsidRPr="0070667D" w:rsidRDefault="00B01406" w:rsidP="00D33033">
      <w:pPr>
        <w:spacing w:before="120"/>
        <w:jc w:val="center"/>
        <w:rPr>
          <w:lang w:val="es-ES"/>
        </w:rPr>
      </w:pPr>
      <w:r w:rsidRPr="0070667D">
        <w:rPr>
          <w:lang w:val="es-ES"/>
        </w:rPr>
        <w:t>___________</w:t>
      </w:r>
    </w:p>
    <w:sectPr w:rsidR="00B01406" w:rsidRPr="0070667D" w:rsidSect="00262977">
      <w:headerReference w:type="default" r:id="rId28"/>
      <w:headerReference w:type="first" r:id="rId29"/>
      <w:pgSz w:w="11907" w:h="16840" w:code="9"/>
      <w:pgMar w:top="1134" w:right="1134" w:bottom="993"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65DF4" w14:textId="77777777" w:rsidR="0041419F" w:rsidRDefault="0041419F">
      <w:r>
        <w:separator/>
      </w:r>
    </w:p>
    <w:p w14:paraId="2D5F2120" w14:textId="77777777" w:rsidR="0041419F" w:rsidRDefault="0041419F"/>
    <w:p w14:paraId="3586870B" w14:textId="77777777" w:rsidR="0041419F" w:rsidRDefault="0041419F"/>
  </w:endnote>
  <w:endnote w:type="continuationSeparator" w:id="0">
    <w:p w14:paraId="23999354" w14:textId="77777777" w:rsidR="0041419F" w:rsidRDefault="0041419F">
      <w:r>
        <w:continuationSeparator/>
      </w:r>
    </w:p>
    <w:p w14:paraId="55B5B5B6" w14:textId="77777777" w:rsidR="0041419F" w:rsidRDefault="0041419F"/>
    <w:p w14:paraId="3708E9CC" w14:textId="77777777" w:rsidR="0041419F" w:rsidRDefault="004141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08A5B" w14:textId="77777777" w:rsidR="0041419F" w:rsidRDefault="0041419F">
      <w:r>
        <w:separator/>
      </w:r>
    </w:p>
  </w:footnote>
  <w:footnote w:type="continuationSeparator" w:id="0">
    <w:p w14:paraId="0CDD18EE" w14:textId="77777777" w:rsidR="0041419F" w:rsidRDefault="0041419F">
      <w:r>
        <w:continuationSeparator/>
      </w:r>
    </w:p>
    <w:p w14:paraId="191217AA" w14:textId="77777777" w:rsidR="0041419F" w:rsidRDefault="0041419F"/>
    <w:p w14:paraId="662286E2" w14:textId="77777777" w:rsidR="0041419F" w:rsidRDefault="004141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9444" w14:textId="40FE9774" w:rsidR="003C5AB0" w:rsidRDefault="005A28EE" w:rsidP="007A7971">
    <w:pPr>
      <w:pStyle w:val="Header"/>
    </w:pPr>
    <w:r>
      <w:t>Cg-19/Doc. 4.2(2)</w:t>
    </w:r>
    <w:r w:rsidR="003C5AB0" w:rsidRPr="00C2459D">
      <w:t xml:space="preserve">, </w:t>
    </w:r>
    <w:r w:rsidR="003C5AB0">
      <w:t>VERSIÓN 1</w:t>
    </w:r>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B85B"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30"/>
  </w:num>
  <w:num w:numId="2" w16cid:durableId="1964075689">
    <w:abstractNumId w:val="45"/>
  </w:num>
  <w:num w:numId="3" w16cid:durableId="1218014157">
    <w:abstractNumId w:val="28"/>
  </w:num>
  <w:num w:numId="4" w16cid:durableId="1439301718">
    <w:abstractNumId w:val="37"/>
  </w:num>
  <w:num w:numId="5" w16cid:durableId="1345206417">
    <w:abstractNumId w:val="18"/>
  </w:num>
  <w:num w:numId="6" w16cid:durableId="198007279">
    <w:abstractNumId w:val="23"/>
  </w:num>
  <w:num w:numId="7" w16cid:durableId="2035112382">
    <w:abstractNumId w:val="19"/>
  </w:num>
  <w:num w:numId="8" w16cid:durableId="750736976">
    <w:abstractNumId w:val="31"/>
  </w:num>
  <w:num w:numId="9" w16cid:durableId="2018192388">
    <w:abstractNumId w:val="22"/>
  </w:num>
  <w:num w:numId="10" w16cid:durableId="2089109994">
    <w:abstractNumId w:val="21"/>
  </w:num>
  <w:num w:numId="11" w16cid:durableId="132331157">
    <w:abstractNumId w:val="36"/>
  </w:num>
  <w:num w:numId="12" w16cid:durableId="798185167">
    <w:abstractNumId w:val="12"/>
  </w:num>
  <w:num w:numId="13" w16cid:durableId="1090396665">
    <w:abstractNumId w:val="26"/>
  </w:num>
  <w:num w:numId="14" w16cid:durableId="311297713">
    <w:abstractNumId w:val="41"/>
  </w:num>
  <w:num w:numId="15" w16cid:durableId="445730857">
    <w:abstractNumId w:val="20"/>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3"/>
  </w:num>
  <w:num w:numId="27" w16cid:durableId="1224291206">
    <w:abstractNumId w:val="32"/>
  </w:num>
  <w:num w:numId="28" w16cid:durableId="166215735">
    <w:abstractNumId w:val="24"/>
  </w:num>
  <w:num w:numId="29" w16cid:durableId="257644340">
    <w:abstractNumId w:val="33"/>
  </w:num>
  <w:num w:numId="30" w16cid:durableId="736514394">
    <w:abstractNumId w:val="34"/>
  </w:num>
  <w:num w:numId="31" w16cid:durableId="1150319406">
    <w:abstractNumId w:val="15"/>
  </w:num>
  <w:num w:numId="32" w16cid:durableId="667712013">
    <w:abstractNumId w:val="40"/>
  </w:num>
  <w:num w:numId="33" w16cid:durableId="513955775">
    <w:abstractNumId w:val="38"/>
  </w:num>
  <w:num w:numId="34" w16cid:durableId="1219629653">
    <w:abstractNumId w:val="25"/>
  </w:num>
  <w:num w:numId="35" w16cid:durableId="1208494135">
    <w:abstractNumId w:val="27"/>
  </w:num>
  <w:num w:numId="36" w16cid:durableId="705057201">
    <w:abstractNumId w:val="44"/>
  </w:num>
  <w:num w:numId="37" w16cid:durableId="96412232">
    <w:abstractNumId w:val="35"/>
  </w:num>
  <w:num w:numId="38" w16cid:durableId="1726562157">
    <w:abstractNumId w:val="13"/>
  </w:num>
  <w:num w:numId="39" w16cid:durableId="1180776066">
    <w:abstractNumId w:val="14"/>
  </w:num>
  <w:num w:numId="40" w16cid:durableId="589394298">
    <w:abstractNumId w:val="16"/>
  </w:num>
  <w:num w:numId="41" w16cid:durableId="1638416093">
    <w:abstractNumId w:val="10"/>
  </w:num>
  <w:num w:numId="42" w16cid:durableId="1577131182">
    <w:abstractNumId w:val="42"/>
  </w:num>
  <w:num w:numId="43" w16cid:durableId="266667257">
    <w:abstractNumId w:val="17"/>
  </w:num>
  <w:num w:numId="44" w16cid:durableId="1412584489">
    <w:abstractNumId w:val="29"/>
  </w:num>
  <w:num w:numId="45" w16cid:durableId="164055181">
    <w:abstractNumId w:val="39"/>
  </w:num>
  <w:num w:numId="46" w16cid:durableId="19788044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D2"/>
    <w:rsid w:val="00001E4F"/>
    <w:rsid w:val="0000502B"/>
    <w:rsid w:val="000206A8"/>
    <w:rsid w:val="0003041B"/>
    <w:rsid w:val="0003137A"/>
    <w:rsid w:val="00034888"/>
    <w:rsid w:val="00041171"/>
    <w:rsid w:val="00041727"/>
    <w:rsid w:val="0004226F"/>
    <w:rsid w:val="00050F8E"/>
    <w:rsid w:val="00053B6C"/>
    <w:rsid w:val="000573AD"/>
    <w:rsid w:val="00060EEE"/>
    <w:rsid w:val="00064F6B"/>
    <w:rsid w:val="00067A50"/>
    <w:rsid w:val="00072F17"/>
    <w:rsid w:val="000806D8"/>
    <w:rsid w:val="00082C80"/>
    <w:rsid w:val="00083847"/>
    <w:rsid w:val="00083C36"/>
    <w:rsid w:val="00084BB5"/>
    <w:rsid w:val="0009583D"/>
    <w:rsid w:val="00095E48"/>
    <w:rsid w:val="000A69BF"/>
    <w:rsid w:val="000C225A"/>
    <w:rsid w:val="000C6781"/>
    <w:rsid w:val="000C6876"/>
    <w:rsid w:val="000E0B9D"/>
    <w:rsid w:val="000F5E49"/>
    <w:rsid w:val="000F7A87"/>
    <w:rsid w:val="000F7D75"/>
    <w:rsid w:val="00104012"/>
    <w:rsid w:val="00105D2E"/>
    <w:rsid w:val="00107759"/>
    <w:rsid w:val="00111BFD"/>
    <w:rsid w:val="001123FB"/>
    <w:rsid w:val="0011498B"/>
    <w:rsid w:val="00120147"/>
    <w:rsid w:val="00121C23"/>
    <w:rsid w:val="00123140"/>
    <w:rsid w:val="00123D94"/>
    <w:rsid w:val="00134EE6"/>
    <w:rsid w:val="00145099"/>
    <w:rsid w:val="001527A3"/>
    <w:rsid w:val="00156F9B"/>
    <w:rsid w:val="00157949"/>
    <w:rsid w:val="00163BA3"/>
    <w:rsid w:val="00166B31"/>
    <w:rsid w:val="00167058"/>
    <w:rsid w:val="00172A8F"/>
    <w:rsid w:val="00173CEB"/>
    <w:rsid w:val="00180771"/>
    <w:rsid w:val="001930A3"/>
    <w:rsid w:val="00196EB8"/>
    <w:rsid w:val="001A0388"/>
    <w:rsid w:val="001A341E"/>
    <w:rsid w:val="001A70A6"/>
    <w:rsid w:val="001B0EA6"/>
    <w:rsid w:val="001B198E"/>
    <w:rsid w:val="001B1CDF"/>
    <w:rsid w:val="001B56F4"/>
    <w:rsid w:val="001C5462"/>
    <w:rsid w:val="001D265C"/>
    <w:rsid w:val="001D3062"/>
    <w:rsid w:val="001D3CFB"/>
    <w:rsid w:val="001D559B"/>
    <w:rsid w:val="001D6302"/>
    <w:rsid w:val="001E6FA8"/>
    <w:rsid w:val="001E72D8"/>
    <w:rsid w:val="001E740C"/>
    <w:rsid w:val="001E7DD0"/>
    <w:rsid w:val="001E7FC2"/>
    <w:rsid w:val="001F1BDA"/>
    <w:rsid w:val="0020095E"/>
    <w:rsid w:val="00210D30"/>
    <w:rsid w:val="002204FD"/>
    <w:rsid w:val="002256AE"/>
    <w:rsid w:val="00227AA8"/>
    <w:rsid w:val="002308B5"/>
    <w:rsid w:val="002331ED"/>
    <w:rsid w:val="00234A34"/>
    <w:rsid w:val="0024027B"/>
    <w:rsid w:val="002470F0"/>
    <w:rsid w:val="00250D57"/>
    <w:rsid w:val="0025255D"/>
    <w:rsid w:val="0025276E"/>
    <w:rsid w:val="00255EE3"/>
    <w:rsid w:val="00262977"/>
    <w:rsid w:val="00265EAB"/>
    <w:rsid w:val="00266262"/>
    <w:rsid w:val="00270480"/>
    <w:rsid w:val="002707B4"/>
    <w:rsid w:val="002779AF"/>
    <w:rsid w:val="00280CB9"/>
    <w:rsid w:val="002823D8"/>
    <w:rsid w:val="002834EF"/>
    <w:rsid w:val="002851FA"/>
    <w:rsid w:val="0028531A"/>
    <w:rsid w:val="00285446"/>
    <w:rsid w:val="00295593"/>
    <w:rsid w:val="002A354F"/>
    <w:rsid w:val="002A386C"/>
    <w:rsid w:val="002B540D"/>
    <w:rsid w:val="002C30BC"/>
    <w:rsid w:val="002C49B1"/>
    <w:rsid w:val="002C5890"/>
    <w:rsid w:val="002C5965"/>
    <w:rsid w:val="002C7A88"/>
    <w:rsid w:val="002D232B"/>
    <w:rsid w:val="002D2759"/>
    <w:rsid w:val="002D5E00"/>
    <w:rsid w:val="002D6DAC"/>
    <w:rsid w:val="002E261D"/>
    <w:rsid w:val="002E3FAD"/>
    <w:rsid w:val="002E4E16"/>
    <w:rsid w:val="002E56B8"/>
    <w:rsid w:val="002E7D84"/>
    <w:rsid w:val="002F6819"/>
    <w:rsid w:val="002F6DAC"/>
    <w:rsid w:val="002F721B"/>
    <w:rsid w:val="00301E8C"/>
    <w:rsid w:val="003024B1"/>
    <w:rsid w:val="003027F9"/>
    <w:rsid w:val="003147B2"/>
    <w:rsid w:val="00314D5D"/>
    <w:rsid w:val="00320009"/>
    <w:rsid w:val="0032424A"/>
    <w:rsid w:val="003245D3"/>
    <w:rsid w:val="00330AA3"/>
    <w:rsid w:val="00334987"/>
    <w:rsid w:val="00334DA0"/>
    <w:rsid w:val="00335E1B"/>
    <w:rsid w:val="0033678A"/>
    <w:rsid w:val="00342E34"/>
    <w:rsid w:val="00343ECE"/>
    <w:rsid w:val="00344076"/>
    <w:rsid w:val="00344F8D"/>
    <w:rsid w:val="00371CF1"/>
    <w:rsid w:val="003750C1"/>
    <w:rsid w:val="00380AF7"/>
    <w:rsid w:val="00383F53"/>
    <w:rsid w:val="00387A45"/>
    <w:rsid w:val="00394A05"/>
    <w:rsid w:val="00397770"/>
    <w:rsid w:val="00397880"/>
    <w:rsid w:val="00397D40"/>
    <w:rsid w:val="003A3C12"/>
    <w:rsid w:val="003A666D"/>
    <w:rsid w:val="003A7016"/>
    <w:rsid w:val="003C17A5"/>
    <w:rsid w:val="003C472E"/>
    <w:rsid w:val="003C5AB0"/>
    <w:rsid w:val="003D1552"/>
    <w:rsid w:val="003D5A17"/>
    <w:rsid w:val="003D706A"/>
    <w:rsid w:val="003E02BB"/>
    <w:rsid w:val="003E38D2"/>
    <w:rsid w:val="003E4046"/>
    <w:rsid w:val="003E70F6"/>
    <w:rsid w:val="003F003A"/>
    <w:rsid w:val="003F125B"/>
    <w:rsid w:val="003F2E59"/>
    <w:rsid w:val="003F7B3F"/>
    <w:rsid w:val="00402F84"/>
    <w:rsid w:val="0041078D"/>
    <w:rsid w:val="00412C90"/>
    <w:rsid w:val="0041419F"/>
    <w:rsid w:val="00414811"/>
    <w:rsid w:val="00416F97"/>
    <w:rsid w:val="00427E27"/>
    <w:rsid w:val="0043039B"/>
    <w:rsid w:val="00432B73"/>
    <w:rsid w:val="00441BD5"/>
    <w:rsid w:val="004423FE"/>
    <w:rsid w:val="00445C35"/>
    <w:rsid w:val="00447D93"/>
    <w:rsid w:val="00455CFB"/>
    <w:rsid w:val="0045663A"/>
    <w:rsid w:val="00456A3F"/>
    <w:rsid w:val="0046344E"/>
    <w:rsid w:val="004667E7"/>
    <w:rsid w:val="00470B2F"/>
    <w:rsid w:val="00475797"/>
    <w:rsid w:val="00476952"/>
    <w:rsid w:val="0047720E"/>
    <w:rsid w:val="004876AA"/>
    <w:rsid w:val="0049253B"/>
    <w:rsid w:val="00497CDF"/>
    <w:rsid w:val="004A140B"/>
    <w:rsid w:val="004A58EB"/>
    <w:rsid w:val="004A6403"/>
    <w:rsid w:val="004B7BAA"/>
    <w:rsid w:val="004C2DF7"/>
    <w:rsid w:val="004C4E0B"/>
    <w:rsid w:val="004D497E"/>
    <w:rsid w:val="004E4809"/>
    <w:rsid w:val="004E5985"/>
    <w:rsid w:val="004E6352"/>
    <w:rsid w:val="004E6460"/>
    <w:rsid w:val="004F6B46"/>
    <w:rsid w:val="00506E17"/>
    <w:rsid w:val="005075E4"/>
    <w:rsid w:val="00511999"/>
    <w:rsid w:val="00514EAC"/>
    <w:rsid w:val="00521EA5"/>
    <w:rsid w:val="00523DCC"/>
    <w:rsid w:val="00525B80"/>
    <w:rsid w:val="00527225"/>
    <w:rsid w:val="0053098F"/>
    <w:rsid w:val="0053262A"/>
    <w:rsid w:val="00536B2E"/>
    <w:rsid w:val="00546D8E"/>
    <w:rsid w:val="00553738"/>
    <w:rsid w:val="00571AE1"/>
    <w:rsid w:val="00585ED5"/>
    <w:rsid w:val="00587ACC"/>
    <w:rsid w:val="00592267"/>
    <w:rsid w:val="0059421F"/>
    <w:rsid w:val="00595789"/>
    <w:rsid w:val="00596CF0"/>
    <w:rsid w:val="005A24CE"/>
    <w:rsid w:val="005A28EE"/>
    <w:rsid w:val="005A5895"/>
    <w:rsid w:val="005A5F04"/>
    <w:rsid w:val="005B0954"/>
    <w:rsid w:val="005B0AE2"/>
    <w:rsid w:val="005B1F2C"/>
    <w:rsid w:val="005B5F3C"/>
    <w:rsid w:val="005D03D9"/>
    <w:rsid w:val="005D1EE8"/>
    <w:rsid w:val="005D56AE"/>
    <w:rsid w:val="005D666D"/>
    <w:rsid w:val="005D786A"/>
    <w:rsid w:val="005E3A59"/>
    <w:rsid w:val="005F4C38"/>
    <w:rsid w:val="00604802"/>
    <w:rsid w:val="00610461"/>
    <w:rsid w:val="00615AB0"/>
    <w:rsid w:val="0061778C"/>
    <w:rsid w:val="00633FDB"/>
    <w:rsid w:val="00636B90"/>
    <w:rsid w:val="006449B2"/>
    <w:rsid w:val="0064540C"/>
    <w:rsid w:val="0064738B"/>
    <w:rsid w:val="006508EA"/>
    <w:rsid w:val="00667E86"/>
    <w:rsid w:val="00672BDD"/>
    <w:rsid w:val="0068392D"/>
    <w:rsid w:val="00697DB5"/>
    <w:rsid w:val="006A1B33"/>
    <w:rsid w:val="006A492A"/>
    <w:rsid w:val="006B0F51"/>
    <w:rsid w:val="006B323B"/>
    <w:rsid w:val="006B5C72"/>
    <w:rsid w:val="006C0737"/>
    <w:rsid w:val="006C0FD5"/>
    <w:rsid w:val="006D0310"/>
    <w:rsid w:val="006D2009"/>
    <w:rsid w:val="006D5576"/>
    <w:rsid w:val="006E766D"/>
    <w:rsid w:val="006F4B29"/>
    <w:rsid w:val="006F6CE9"/>
    <w:rsid w:val="0070517C"/>
    <w:rsid w:val="00705C9F"/>
    <w:rsid w:val="0070667D"/>
    <w:rsid w:val="00716951"/>
    <w:rsid w:val="00720F6B"/>
    <w:rsid w:val="0072316D"/>
    <w:rsid w:val="00735672"/>
    <w:rsid w:val="00735D9E"/>
    <w:rsid w:val="007448A0"/>
    <w:rsid w:val="00745A09"/>
    <w:rsid w:val="00751EAF"/>
    <w:rsid w:val="00754CF7"/>
    <w:rsid w:val="00757B0D"/>
    <w:rsid w:val="00761320"/>
    <w:rsid w:val="0076135A"/>
    <w:rsid w:val="007651B1"/>
    <w:rsid w:val="0077051C"/>
    <w:rsid w:val="00771A68"/>
    <w:rsid w:val="007744D2"/>
    <w:rsid w:val="00786136"/>
    <w:rsid w:val="00795324"/>
    <w:rsid w:val="007A7971"/>
    <w:rsid w:val="007C0E2D"/>
    <w:rsid w:val="007C212A"/>
    <w:rsid w:val="007D0A6D"/>
    <w:rsid w:val="007D56D1"/>
    <w:rsid w:val="007D689D"/>
    <w:rsid w:val="007E4365"/>
    <w:rsid w:val="007E7D21"/>
    <w:rsid w:val="007F482F"/>
    <w:rsid w:val="007F4AD0"/>
    <w:rsid w:val="007F7C94"/>
    <w:rsid w:val="0080398D"/>
    <w:rsid w:val="00806385"/>
    <w:rsid w:val="008067DF"/>
    <w:rsid w:val="00807CC5"/>
    <w:rsid w:val="00814CC6"/>
    <w:rsid w:val="00831751"/>
    <w:rsid w:val="00833369"/>
    <w:rsid w:val="00833CD7"/>
    <w:rsid w:val="00835B42"/>
    <w:rsid w:val="0083704B"/>
    <w:rsid w:val="008416DF"/>
    <w:rsid w:val="00842A4E"/>
    <w:rsid w:val="008451AA"/>
    <w:rsid w:val="00847D99"/>
    <w:rsid w:val="0085038E"/>
    <w:rsid w:val="00852BD4"/>
    <w:rsid w:val="0086271D"/>
    <w:rsid w:val="0086420B"/>
    <w:rsid w:val="00864DBF"/>
    <w:rsid w:val="0086565E"/>
    <w:rsid w:val="00865AE2"/>
    <w:rsid w:val="00867DA4"/>
    <w:rsid w:val="00872114"/>
    <w:rsid w:val="00885063"/>
    <w:rsid w:val="008850A8"/>
    <w:rsid w:val="00892799"/>
    <w:rsid w:val="00895012"/>
    <w:rsid w:val="0089601F"/>
    <w:rsid w:val="008A5170"/>
    <w:rsid w:val="008A7313"/>
    <w:rsid w:val="008A7D91"/>
    <w:rsid w:val="008B13E4"/>
    <w:rsid w:val="008B7FC7"/>
    <w:rsid w:val="008C4337"/>
    <w:rsid w:val="008C4F06"/>
    <w:rsid w:val="008D34AF"/>
    <w:rsid w:val="008E1E4A"/>
    <w:rsid w:val="008E4AAA"/>
    <w:rsid w:val="008F0615"/>
    <w:rsid w:val="008F103E"/>
    <w:rsid w:val="008F1FDB"/>
    <w:rsid w:val="008F36FB"/>
    <w:rsid w:val="0090427F"/>
    <w:rsid w:val="00920506"/>
    <w:rsid w:val="00931DEB"/>
    <w:rsid w:val="00933957"/>
    <w:rsid w:val="00950605"/>
    <w:rsid w:val="00952233"/>
    <w:rsid w:val="00954D66"/>
    <w:rsid w:val="009559E0"/>
    <w:rsid w:val="009635FE"/>
    <w:rsid w:val="00963F8F"/>
    <w:rsid w:val="00972D62"/>
    <w:rsid w:val="00973C62"/>
    <w:rsid w:val="00975D76"/>
    <w:rsid w:val="00982E51"/>
    <w:rsid w:val="009837FB"/>
    <w:rsid w:val="0098530A"/>
    <w:rsid w:val="009874B9"/>
    <w:rsid w:val="00993581"/>
    <w:rsid w:val="009A288C"/>
    <w:rsid w:val="009A2EC3"/>
    <w:rsid w:val="009A64C1"/>
    <w:rsid w:val="009B435B"/>
    <w:rsid w:val="009B4FED"/>
    <w:rsid w:val="009B6697"/>
    <w:rsid w:val="009B7B0A"/>
    <w:rsid w:val="009C1C50"/>
    <w:rsid w:val="009C2EA4"/>
    <w:rsid w:val="009C4C04"/>
    <w:rsid w:val="009D1C1B"/>
    <w:rsid w:val="009D5D60"/>
    <w:rsid w:val="009E2BBD"/>
    <w:rsid w:val="009F7566"/>
    <w:rsid w:val="00A0399F"/>
    <w:rsid w:val="00A06BFE"/>
    <w:rsid w:val="00A10F5D"/>
    <w:rsid w:val="00A1243C"/>
    <w:rsid w:val="00A135AE"/>
    <w:rsid w:val="00A14AF1"/>
    <w:rsid w:val="00A15128"/>
    <w:rsid w:val="00A16891"/>
    <w:rsid w:val="00A268CE"/>
    <w:rsid w:val="00A332E8"/>
    <w:rsid w:val="00A35AF5"/>
    <w:rsid w:val="00A35DDF"/>
    <w:rsid w:val="00A36CBA"/>
    <w:rsid w:val="00A41E35"/>
    <w:rsid w:val="00A45741"/>
    <w:rsid w:val="00A50291"/>
    <w:rsid w:val="00A530E4"/>
    <w:rsid w:val="00A604CD"/>
    <w:rsid w:val="00A60FE6"/>
    <w:rsid w:val="00A622F5"/>
    <w:rsid w:val="00A62F6A"/>
    <w:rsid w:val="00A654BE"/>
    <w:rsid w:val="00A66DD6"/>
    <w:rsid w:val="00A71237"/>
    <w:rsid w:val="00A73654"/>
    <w:rsid w:val="00A73E02"/>
    <w:rsid w:val="00A771FD"/>
    <w:rsid w:val="00A777B6"/>
    <w:rsid w:val="00A874EF"/>
    <w:rsid w:val="00A933EB"/>
    <w:rsid w:val="00A95415"/>
    <w:rsid w:val="00AA3C89"/>
    <w:rsid w:val="00AA4235"/>
    <w:rsid w:val="00AA5160"/>
    <w:rsid w:val="00AA7C4C"/>
    <w:rsid w:val="00AB32BD"/>
    <w:rsid w:val="00AB4723"/>
    <w:rsid w:val="00AC4CDB"/>
    <w:rsid w:val="00AC6DCA"/>
    <w:rsid w:val="00AC70FE"/>
    <w:rsid w:val="00AD33A8"/>
    <w:rsid w:val="00AD4358"/>
    <w:rsid w:val="00AD586F"/>
    <w:rsid w:val="00AD622D"/>
    <w:rsid w:val="00AF0A91"/>
    <w:rsid w:val="00AF61E1"/>
    <w:rsid w:val="00AF638A"/>
    <w:rsid w:val="00B00141"/>
    <w:rsid w:val="00B009AA"/>
    <w:rsid w:val="00B01406"/>
    <w:rsid w:val="00B01B02"/>
    <w:rsid w:val="00B020E6"/>
    <w:rsid w:val="00B030C8"/>
    <w:rsid w:val="00B056E7"/>
    <w:rsid w:val="00B05B71"/>
    <w:rsid w:val="00B10035"/>
    <w:rsid w:val="00B15C76"/>
    <w:rsid w:val="00B165E6"/>
    <w:rsid w:val="00B22D19"/>
    <w:rsid w:val="00B235DB"/>
    <w:rsid w:val="00B31C07"/>
    <w:rsid w:val="00B347B9"/>
    <w:rsid w:val="00B3756E"/>
    <w:rsid w:val="00B4340B"/>
    <w:rsid w:val="00B447C0"/>
    <w:rsid w:val="00B5229B"/>
    <w:rsid w:val="00B548A2"/>
    <w:rsid w:val="00B54B3D"/>
    <w:rsid w:val="00B555F7"/>
    <w:rsid w:val="00B56575"/>
    <w:rsid w:val="00B56934"/>
    <w:rsid w:val="00B62F03"/>
    <w:rsid w:val="00B72444"/>
    <w:rsid w:val="00B93B62"/>
    <w:rsid w:val="00B953D1"/>
    <w:rsid w:val="00BA30D0"/>
    <w:rsid w:val="00BA6E7D"/>
    <w:rsid w:val="00BB0D32"/>
    <w:rsid w:val="00BB1264"/>
    <w:rsid w:val="00BB57B8"/>
    <w:rsid w:val="00BC1EA6"/>
    <w:rsid w:val="00BC6F2F"/>
    <w:rsid w:val="00BC76B5"/>
    <w:rsid w:val="00BD5420"/>
    <w:rsid w:val="00BF0AB9"/>
    <w:rsid w:val="00C04265"/>
    <w:rsid w:val="00C04BD2"/>
    <w:rsid w:val="00C06ACF"/>
    <w:rsid w:val="00C11F41"/>
    <w:rsid w:val="00C13EEC"/>
    <w:rsid w:val="00C14689"/>
    <w:rsid w:val="00C156A4"/>
    <w:rsid w:val="00C20FAA"/>
    <w:rsid w:val="00C2459D"/>
    <w:rsid w:val="00C272F5"/>
    <w:rsid w:val="00C316F1"/>
    <w:rsid w:val="00C32ABF"/>
    <w:rsid w:val="00C32E6F"/>
    <w:rsid w:val="00C369A6"/>
    <w:rsid w:val="00C42923"/>
    <w:rsid w:val="00C42ABF"/>
    <w:rsid w:val="00C42C95"/>
    <w:rsid w:val="00C4470F"/>
    <w:rsid w:val="00C51009"/>
    <w:rsid w:val="00C55078"/>
    <w:rsid w:val="00C55E5B"/>
    <w:rsid w:val="00C57D64"/>
    <w:rsid w:val="00C62739"/>
    <w:rsid w:val="00C720A4"/>
    <w:rsid w:val="00C7414C"/>
    <w:rsid w:val="00C7611C"/>
    <w:rsid w:val="00C832F0"/>
    <w:rsid w:val="00C94097"/>
    <w:rsid w:val="00C97BD7"/>
    <w:rsid w:val="00CA4269"/>
    <w:rsid w:val="00CA7330"/>
    <w:rsid w:val="00CB1C84"/>
    <w:rsid w:val="00CB64F0"/>
    <w:rsid w:val="00CC12B6"/>
    <w:rsid w:val="00CC2909"/>
    <w:rsid w:val="00CD0549"/>
    <w:rsid w:val="00CD0642"/>
    <w:rsid w:val="00CD536B"/>
    <w:rsid w:val="00CF40BF"/>
    <w:rsid w:val="00CF44AE"/>
    <w:rsid w:val="00CF470F"/>
    <w:rsid w:val="00D008F2"/>
    <w:rsid w:val="00D0424E"/>
    <w:rsid w:val="00D05D68"/>
    <w:rsid w:val="00D05E6F"/>
    <w:rsid w:val="00D14624"/>
    <w:rsid w:val="00D1622D"/>
    <w:rsid w:val="00D17F7A"/>
    <w:rsid w:val="00D20072"/>
    <w:rsid w:val="00D243E4"/>
    <w:rsid w:val="00D24F2A"/>
    <w:rsid w:val="00D262BA"/>
    <w:rsid w:val="00D27929"/>
    <w:rsid w:val="00D33033"/>
    <w:rsid w:val="00D33442"/>
    <w:rsid w:val="00D371DE"/>
    <w:rsid w:val="00D37234"/>
    <w:rsid w:val="00D407B9"/>
    <w:rsid w:val="00D44BAD"/>
    <w:rsid w:val="00D45B55"/>
    <w:rsid w:val="00D50477"/>
    <w:rsid w:val="00D51676"/>
    <w:rsid w:val="00D51803"/>
    <w:rsid w:val="00D7097B"/>
    <w:rsid w:val="00D74ABE"/>
    <w:rsid w:val="00D776B6"/>
    <w:rsid w:val="00D779AE"/>
    <w:rsid w:val="00D80AC2"/>
    <w:rsid w:val="00D856AD"/>
    <w:rsid w:val="00D91DFA"/>
    <w:rsid w:val="00D932E1"/>
    <w:rsid w:val="00D94144"/>
    <w:rsid w:val="00DA159A"/>
    <w:rsid w:val="00DA4CFF"/>
    <w:rsid w:val="00DB1AB2"/>
    <w:rsid w:val="00DC4FDF"/>
    <w:rsid w:val="00DC66F0"/>
    <w:rsid w:val="00DC7A31"/>
    <w:rsid w:val="00DD2F0E"/>
    <w:rsid w:val="00DD3A65"/>
    <w:rsid w:val="00DD62C6"/>
    <w:rsid w:val="00DE7137"/>
    <w:rsid w:val="00DF430F"/>
    <w:rsid w:val="00E00498"/>
    <w:rsid w:val="00E0267E"/>
    <w:rsid w:val="00E02C3B"/>
    <w:rsid w:val="00E14ADB"/>
    <w:rsid w:val="00E1501D"/>
    <w:rsid w:val="00E223B5"/>
    <w:rsid w:val="00E2617A"/>
    <w:rsid w:val="00E26B0A"/>
    <w:rsid w:val="00E31CD4"/>
    <w:rsid w:val="00E36D35"/>
    <w:rsid w:val="00E41547"/>
    <w:rsid w:val="00E47778"/>
    <w:rsid w:val="00E538E6"/>
    <w:rsid w:val="00E55218"/>
    <w:rsid w:val="00E67E51"/>
    <w:rsid w:val="00E7188E"/>
    <w:rsid w:val="00E72167"/>
    <w:rsid w:val="00E72242"/>
    <w:rsid w:val="00E771C9"/>
    <w:rsid w:val="00E802A2"/>
    <w:rsid w:val="00E809A8"/>
    <w:rsid w:val="00E85C0B"/>
    <w:rsid w:val="00E916AC"/>
    <w:rsid w:val="00EA14FC"/>
    <w:rsid w:val="00EB13D7"/>
    <w:rsid w:val="00EB1E83"/>
    <w:rsid w:val="00EB7B07"/>
    <w:rsid w:val="00EC7CF5"/>
    <w:rsid w:val="00ED22CB"/>
    <w:rsid w:val="00ED67AF"/>
    <w:rsid w:val="00ED709D"/>
    <w:rsid w:val="00EE128C"/>
    <w:rsid w:val="00EE25E0"/>
    <w:rsid w:val="00EE4A1E"/>
    <w:rsid w:val="00EE4C48"/>
    <w:rsid w:val="00EE5B78"/>
    <w:rsid w:val="00EE5C27"/>
    <w:rsid w:val="00EF66D9"/>
    <w:rsid w:val="00EF68E3"/>
    <w:rsid w:val="00EF6BA5"/>
    <w:rsid w:val="00EF780D"/>
    <w:rsid w:val="00EF7A98"/>
    <w:rsid w:val="00F0267E"/>
    <w:rsid w:val="00F057D1"/>
    <w:rsid w:val="00F11B47"/>
    <w:rsid w:val="00F20372"/>
    <w:rsid w:val="00F25D8D"/>
    <w:rsid w:val="00F310D9"/>
    <w:rsid w:val="00F40269"/>
    <w:rsid w:val="00F44CCB"/>
    <w:rsid w:val="00F474C9"/>
    <w:rsid w:val="00F5126B"/>
    <w:rsid w:val="00F52A0D"/>
    <w:rsid w:val="00F54EA3"/>
    <w:rsid w:val="00F5693C"/>
    <w:rsid w:val="00F61675"/>
    <w:rsid w:val="00F6686B"/>
    <w:rsid w:val="00F67F74"/>
    <w:rsid w:val="00F71115"/>
    <w:rsid w:val="00F712B3"/>
    <w:rsid w:val="00F73DE3"/>
    <w:rsid w:val="00F744BF"/>
    <w:rsid w:val="00F7716C"/>
    <w:rsid w:val="00F77219"/>
    <w:rsid w:val="00F84DD2"/>
    <w:rsid w:val="00FA4ECF"/>
    <w:rsid w:val="00FA571F"/>
    <w:rsid w:val="00FA575E"/>
    <w:rsid w:val="00FB0872"/>
    <w:rsid w:val="00FB10DC"/>
    <w:rsid w:val="00FB4D38"/>
    <w:rsid w:val="00FB54CC"/>
    <w:rsid w:val="00FC009F"/>
    <w:rsid w:val="00FC05DB"/>
    <w:rsid w:val="00FD1A37"/>
    <w:rsid w:val="00FD4E5B"/>
    <w:rsid w:val="00FE1AD1"/>
    <w:rsid w:val="00FE2DF4"/>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61C983"/>
  <w15:docId w15:val="{A30C64FF-CFD5-4D29-83EE-08B7F417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customStyle="1" w:styleId="Style1">
    <w:name w:val="Style1"/>
    <w:basedOn w:val="Normal"/>
    <w:link w:val="Style1Char"/>
    <w:qFormat/>
    <w:rsid w:val="002E56B8"/>
    <w:pPr>
      <w:spacing w:before="480"/>
      <w:jc w:val="center"/>
    </w:pPr>
    <w:rPr>
      <w:b/>
      <w:bCs/>
      <w:sz w:val="22"/>
      <w:szCs w:val="22"/>
      <w:lang w:val="es-ES_tradnl"/>
    </w:rPr>
  </w:style>
  <w:style w:type="character" w:customStyle="1" w:styleId="Style1Char">
    <w:name w:val="Style1 Char"/>
    <w:basedOn w:val="DefaultParagraphFont"/>
    <w:link w:val="Style1"/>
    <w:rsid w:val="002E56B8"/>
    <w:rPr>
      <w:rFonts w:ascii="Verdana" w:eastAsia="Arial" w:hAnsi="Verdana" w:cs="Arial"/>
      <w:b/>
      <w:bCs/>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40/" TargetMode="External"/><Relationship Id="rId18" Type="http://schemas.openxmlformats.org/officeDocument/2006/relationships/hyperlink" Target="https://library.wmo.int/doc_num.php?explnum_id=11140/" TargetMode="External"/><Relationship Id="rId26" Type="http://schemas.openxmlformats.org/officeDocument/2006/relationships/hyperlink" Target="https://meetings.wmo.int/EC-76/_layouts/15/WopiFrame.aspx?sourcedoc=/EC-76/Spanish/2.%20VERSI%C3%93N%20PROVISIONAL%20DEL%20INFORME%20(Documentos%20aprobados)/EC-76-d03-2(1)-AMENDMENT-MANUAL-WIGOS-1160-approved_es.docx&amp;action=default" TargetMode="External"/><Relationship Id="rId3" Type="http://schemas.openxmlformats.org/officeDocument/2006/relationships/customXml" Target="../customXml/item3.xml"/><Relationship Id="rId21" Type="http://schemas.openxmlformats.org/officeDocument/2006/relationships/hyperlink" Target="https://meetings.wmo.int/EC-76/_layouts/15/WopiFrame.aspx?sourcedoc=/EC-76/Spanish/2.%20VERSI%C3%93N%20PROVISIONAL%20DEL%20INFORME%20(Documentos%20aprobados)/EC-76-d03-2(1)-AMENDMENT-MANUAL-WIGOS-1160-ANNEX-approved_es.docx&amp;action=default" TargetMode="External"/><Relationship Id="rId7" Type="http://schemas.openxmlformats.org/officeDocument/2006/relationships/settings" Target="settings.xml"/><Relationship Id="rId12" Type="http://schemas.openxmlformats.org/officeDocument/2006/relationships/hyperlink" Target="https://library.wmo.int/doc_num.php?explnum_id=11140/" TargetMode="External"/><Relationship Id="rId17" Type="http://schemas.openxmlformats.org/officeDocument/2006/relationships/hyperlink" Target="https://library.wmo.int/doc_num.php?explnum_id=11030/" TargetMode="External"/><Relationship Id="rId25" Type="http://schemas.openxmlformats.org/officeDocument/2006/relationships/hyperlink" Target="https://meetings.wmo.int/EC-76/_layouts/15/WopiFrame.aspx?sourcedoc=/EC-76/Spanish/2.%20VERSI%C3%93N%20PROVISIONAL%20DEL%20INFORME%20(Documentos%20aprobados)/EC-76-d03-2(1)-AMENDMENT-MANUAL-WIGOS-1160-ANNEX-approved_es.docx&amp;action=default" TargetMode="External"/><Relationship Id="rId2" Type="http://schemas.openxmlformats.org/officeDocument/2006/relationships/customXml" Target="../customXml/item2.xml"/><Relationship Id="rId16" Type="http://schemas.openxmlformats.org/officeDocument/2006/relationships/hyperlink" Target="https://meetings.wmo.int/Cg-19/InformationDocuments/Forms/AllItems.aspx" TargetMode="External"/><Relationship Id="rId20" Type="http://schemas.openxmlformats.org/officeDocument/2006/relationships/hyperlink" Target="https://meetings.wmo.int/INFCOM-2/_layouts/15/WopiFrame.aspx?sourcedoc=/INFCOM-2/Spanish/2.%20VERSI%C3%93N%20PROVISIONAL%20DEL%20INFORME%20(Documentos%20aprobados)/INFCOM-2-d06-1(9)-GBON-INITIAL-COMPOSITION-approved_es.docx&amp;action=defaul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EC-76/_layouts/15/WopiFrame.aspx?sourcedoc=/EC-76/Spanish/2.%20VERSI%C3%93N%20PROVISIONAL%20DEL%20INFORME%20(Documentos%20aprobados)/EC-76-d03-2(1)-AMENDMENT-MANUAL-WIGOS-1160-ANNEX-approved_es.docx&amp;action=default" TargetMode="External"/><Relationship Id="rId5" Type="http://schemas.openxmlformats.org/officeDocument/2006/relationships/numbering" Target="numbering.xml"/><Relationship Id="rId15" Type="http://schemas.openxmlformats.org/officeDocument/2006/relationships/hyperlink" Target="https://meetings.wmo.int/INFCOM-2/_layouts/15/WopiFrame.aspx?sourcedoc=/INFCOM-2/Spanish/2.%20VERSI%C3%93N%20PROVISIONAL%20DEL%20INFORME%20(Documentos%20aprobados)/INFCOM-2-d06-1(9)-GBON-INITIAL-COMPOSITION-approved_es.docx&amp;action=default" TargetMode="External"/><Relationship Id="rId23" Type="http://schemas.openxmlformats.org/officeDocument/2006/relationships/hyperlink" Target="https://meetings.wmo.int/Cg-19/InformationDocuments/Forms/AllItems.asp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etings.wmo.int/EC-76/_layouts/15/WopiFrame.aspx?sourcedoc=/EC-76/Spanish/2.%20VERSI%C3%93N%20PROVISIONAL%20DEL%20INFORME%20(Documentos%20aprobados)/EC-76-d03-2(1)-AMENDMENT-MANUAL-WIGOS-1160-approved_es.docx&amp;action=defaul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INFCOM-2/_layouts/15/WopiFrame.aspx?sourcedoc=/INFCOM-2/Spanish/2.%20VERSI%C3%93N%20PROVISIONAL%20DEL%20INFORME%20(Documentos%20aprobados)/INFCOM-2-d06-1(9)-GBON-INITIAL-COMPOSITION-approved_es.docx&amp;action=default" TargetMode="External"/><Relationship Id="rId22" Type="http://schemas.openxmlformats.org/officeDocument/2006/relationships/hyperlink" Target="https://community.wmo.int/en/global-basic-observing-network-gbon-station-designations-map" TargetMode="External"/><Relationship Id="rId27" Type="http://schemas.openxmlformats.org/officeDocument/2006/relationships/hyperlink" Target="https://meetings.wmo.int/Cg-19/InformationDocuments/Forms/AllItems.aspx"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do\OneDrive\Escritorio\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3.xml><?xml version="1.0" encoding="utf-8"?>
<ds:datastoreItem xmlns:ds="http://schemas.openxmlformats.org/officeDocument/2006/customXml" ds:itemID="{62ADD82F-0D99-4796-9EEA-BC89B0355BCF}"/>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Cg-19-dxx-Template_es</Template>
  <TotalTime>216</TotalTime>
  <Pages>8</Pages>
  <Words>2277</Words>
  <Characters>12123</Characters>
  <Application>Microsoft Office Word</Application>
  <DocSecurity>0</DocSecurity>
  <Lines>374</Lines>
  <Paragraphs>97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14331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Marina Pardo</dc:creator>
  <cp:lastModifiedBy>Elena Vicente</cp:lastModifiedBy>
  <cp:revision>202</cp:revision>
  <cp:lastPrinted>2013-03-12T09:27:00Z</cp:lastPrinted>
  <dcterms:created xsi:type="dcterms:W3CDTF">2023-04-13T15:52:00Z</dcterms:created>
  <dcterms:modified xsi:type="dcterms:W3CDTF">2023-04-17T12:21:00Z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